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7A4FAC" w:rsidRPr="007A4FAC" w:rsidP="007A4FAC">
      <w:pPr>
        <w:rPr>
          <w:b/>
          <w:bCs/>
        </w:rPr>
      </w:pPr>
      <w:r w:rsidRPr="007A4FAC">
        <w:rPr>
          <w:b/>
          <w:bCs/>
        </w:rPr>
        <w:t>BAMBER BRIDGE LEISURE CENTRE - PITCH HUB SITE - HIGH LEVEL COST PLAN 25.09.20</w:t>
      </w:r>
    </w:p>
    <w:p w:rsidR="008737A2" w:rsidRPr="007A4FAC"/>
    <w:p w:rsidR="007A4FAC" w:rsidP="0038031F">
      <w:pPr>
        <w:pStyle w:val="ListParagraph"/>
        <w:numPr>
          <w:ilvl w:val="0"/>
          <w:numId w:val="4"/>
        </w:numPr>
        <w:ind w:left="426" w:hanging="426"/>
      </w:pPr>
      <w:r>
        <w:t>Following on from our Headline Costs report issued in June 2020, we now have a preferred plan which comprises the following built elements</w:t>
      </w:r>
      <w:r w:rsidR="0038031F">
        <w:t>.</w:t>
      </w:r>
    </w:p>
    <w:p w:rsidR="007A4FAC" w:rsidP="0038031F">
      <w:pPr>
        <w:ind w:left="426" w:hanging="426"/>
      </w:pPr>
    </w:p>
    <w:p w:rsidR="0070668A" w:rsidP="0038031F">
      <w:pPr>
        <w:pStyle w:val="ListParagraph"/>
        <w:numPr>
          <w:ilvl w:val="0"/>
          <w:numId w:val="4"/>
        </w:numPr>
        <w:ind w:left="426" w:hanging="426"/>
      </w:pPr>
      <w:r>
        <w:t>Two full sized fenced and floodlit 3G artificial turf pitches (AGPs) to FA and Football Foundation standards with a shockpad included in one AGP so that it meets the head impact criteria for contact rugby (both codes).</w:t>
      </w:r>
    </w:p>
    <w:p w:rsidR="0038031F" w:rsidP="0038031F">
      <w:pPr>
        <w:ind w:left="426" w:hanging="426"/>
      </w:pPr>
    </w:p>
    <w:p w:rsidR="0038031F" w:rsidP="0038031F">
      <w:pPr>
        <w:pStyle w:val="ListParagraph"/>
        <w:numPr>
          <w:ilvl w:val="0"/>
          <w:numId w:val="4"/>
        </w:numPr>
        <w:ind w:left="426" w:hanging="426"/>
      </w:pPr>
      <w:r>
        <w:t>A new single storey, traditionally constructed, stand-alone changing pavilion with the following schedule of accommodation …</w:t>
      </w:r>
    </w:p>
    <w:p w:rsidR="0038031F"/>
    <w:p w:rsidR="0038031F" w:rsidP="0038031F">
      <w:pPr>
        <w:numPr>
          <w:ilvl w:val="0"/>
          <w:numId w:val="1"/>
        </w:numPr>
        <w:ind w:left="993" w:hanging="284"/>
        <w:rPr>
          <w:rFonts w:cs="Arial"/>
          <w:bCs/>
        </w:rPr>
      </w:pPr>
      <w:r>
        <w:rPr>
          <w:rFonts w:cs="Arial"/>
          <w:bCs/>
        </w:rPr>
        <w:t>a canopied entrance leading to a lobby;</w:t>
      </w:r>
    </w:p>
    <w:p w:rsidR="0038031F" w:rsidP="0038031F">
      <w:pPr>
        <w:numPr>
          <w:ilvl w:val="0"/>
          <w:numId w:val="1"/>
        </w:numPr>
        <w:ind w:left="993" w:hanging="284"/>
        <w:rPr>
          <w:rFonts w:cs="Arial"/>
          <w:bCs/>
        </w:rPr>
      </w:pPr>
      <w:r>
        <w:rPr>
          <w:rFonts w:cs="Arial"/>
          <w:bCs/>
        </w:rPr>
        <w:t xml:space="preserve">office </w:t>
      </w:r>
      <w:r>
        <w:rPr>
          <w:rFonts w:cs="Arial"/>
        </w:rPr>
        <w:t>/</w:t>
      </w:r>
      <w:r>
        <w:rPr>
          <w:rFonts w:cs="Arial"/>
          <w:bCs/>
        </w:rPr>
        <w:t xml:space="preserve"> first aid room;</w:t>
      </w:r>
    </w:p>
    <w:p w:rsidR="0038031F" w:rsidP="0038031F">
      <w:pPr>
        <w:numPr>
          <w:ilvl w:val="0"/>
          <w:numId w:val="1"/>
        </w:numPr>
        <w:ind w:left="993" w:hanging="284"/>
        <w:rPr>
          <w:rFonts w:cs="Arial"/>
          <w:bCs/>
        </w:rPr>
      </w:pPr>
      <w:r>
        <w:rPr>
          <w:rFonts w:cs="Arial"/>
          <w:bCs/>
        </w:rPr>
        <w:t>corridor access to social / club room;</w:t>
      </w:r>
    </w:p>
    <w:p w:rsidR="0038031F" w:rsidP="0038031F">
      <w:pPr>
        <w:numPr>
          <w:ilvl w:val="0"/>
          <w:numId w:val="1"/>
        </w:numPr>
        <w:ind w:left="993" w:hanging="284"/>
        <w:rPr>
          <w:rFonts w:cs="Arial"/>
          <w:bCs/>
        </w:rPr>
      </w:pPr>
      <w:r>
        <w:rPr>
          <w:rFonts w:cs="Arial"/>
          <w:bCs/>
        </w:rPr>
        <w:t>a social room with kitchen and serveries;</w:t>
      </w:r>
    </w:p>
    <w:p w:rsidR="0038031F" w:rsidP="0038031F">
      <w:pPr>
        <w:numPr>
          <w:ilvl w:val="0"/>
          <w:numId w:val="1"/>
        </w:numPr>
        <w:ind w:left="993" w:hanging="284"/>
        <w:rPr>
          <w:rFonts w:cs="Arial"/>
          <w:bCs/>
        </w:rPr>
      </w:pPr>
      <w:r>
        <w:rPr>
          <w:rFonts w:cs="Arial"/>
          <w:bCs/>
        </w:rPr>
        <w:t>a shuttered store for tables and chairs;</w:t>
      </w:r>
    </w:p>
    <w:p w:rsidR="0038031F" w:rsidP="0038031F">
      <w:pPr>
        <w:numPr>
          <w:ilvl w:val="0"/>
          <w:numId w:val="1"/>
        </w:numPr>
        <w:ind w:left="993" w:hanging="284"/>
        <w:rPr>
          <w:rFonts w:cs="Arial"/>
          <w:bCs/>
        </w:rPr>
      </w:pPr>
      <w:r>
        <w:rPr>
          <w:rFonts w:cs="Arial"/>
          <w:bCs/>
        </w:rPr>
        <w:t>separate male, female and accessible wcs for visitors;</w:t>
      </w:r>
    </w:p>
    <w:p w:rsidR="0038031F" w:rsidP="0038031F">
      <w:pPr>
        <w:numPr>
          <w:ilvl w:val="0"/>
          <w:numId w:val="1"/>
        </w:numPr>
        <w:ind w:left="993" w:hanging="284"/>
        <w:rPr>
          <w:rFonts w:cs="Arial"/>
          <w:bCs/>
        </w:rPr>
      </w:pPr>
      <w:r>
        <w:rPr>
          <w:rFonts w:cs="Arial"/>
          <w:bCs/>
        </w:rPr>
        <w:t xml:space="preserve">central corridor leading to changing rooms; </w:t>
      </w:r>
    </w:p>
    <w:p w:rsidR="0038031F" w:rsidP="0038031F">
      <w:pPr>
        <w:numPr>
          <w:ilvl w:val="0"/>
          <w:numId w:val="1"/>
        </w:numPr>
        <w:ind w:left="993" w:hanging="284"/>
        <w:rPr>
          <w:rFonts w:cs="Arial"/>
          <w:bCs/>
        </w:rPr>
      </w:pPr>
      <w:r>
        <w:rPr>
          <w:rFonts w:cs="Arial"/>
          <w:bCs/>
        </w:rPr>
        <w:t xml:space="preserve">four 16no. bench space changing rooms each with integral showers and wcs; </w:t>
      </w:r>
    </w:p>
    <w:p w:rsidR="0038031F" w:rsidP="0038031F">
      <w:pPr>
        <w:numPr>
          <w:ilvl w:val="0"/>
          <w:numId w:val="1"/>
        </w:numPr>
        <w:ind w:left="993" w:hanging="284"/>
        <w:rPr>
          <w:rFonts w:cs="Arial"/>
          <w:bCs/>
        </w:rPr>
      </w:pPr>
      <w:r>
        <w:rPr>
          <w:rFonts w:cs="Arial"/>
        </w:rPr>
        <w:t xml:space="preserve">separate </w:t>
      </w:r>
      <w:r>
        <w:rPr>
          <w:rFonts w:cs="Arial"/>
          <w:bCs/>
        </w:rPr>
        <w:t>officials' change with shower and wc;</w:t>
      </w:r>
    </w:p>
    <w:p w:rsidR="0038031F" w:rsidP="0038031F">
      <w:pPr>
        <w:numPr>
          <w:ilvl w:val="0"/>
          <w:numId w:val="1"/>
        </w:numPr>
        <w:ind w:left="993" w:hanging="284"/>
        <w:rPr>
          <w:rFonts w:cs="Arial"/>
          <w:bCs/>
        </w:rPr>
      </w:pPr>
      <w:r>
        <w:rPr>
          <w:rFonts w:cs="Arial"/>
          <w:bCs/>
        </w:rPr>
        <w:t>accessible change with shower and wc (doubling up as additional officials' change as needed</w:t>
      </w:r>
      <w:r>
        <w:rPr>
          <w:rFonts w:cs="Arial"/>
        </w:rPr>
        <w:t xml:space="preserve"> or for gender requirements</w:t>
      </w:r>
      <w:r>
        <w:rPr>
          <w:rFonts w:cs="Arial"/>
          <w:bCs/>
        </w:rPr>
        <w:t>);</w:t>
      </w:r>
    </w:p>
    <w:p w:rsidR="0038031F" w:rsidP="0038031F">
      <w:pPr>
        <w:numPr>
          <w:ilvl w:val="0"/>
          <w:numId w:val="1"/>
        </w:numPr>
        <w:ind w:left="993" w:hanging="284"/>
        <w:rPr>
          <w:rFonts w:cs="Arial"/>
          <w:bCs/>
        </w:rPr>
      </w:pPr>
      <w:r>
        <w:rPr>
          <w:rFonts w:cs="Arial"/>
          <w:bCs/>
        </w:rPr>
        <w:t>player's exit to pitches at the far end of the corridor;</w:t>
      </w:r>
    </w:p>
    <w:p w:rsidR="0038031F" w:rsidP="0038031F">
      <w:pPr>
        <w:numPr>
          <w:ilvl w:val="0"/>
          <w:numId w:val="1"/>
        </w:numPr>
        <w:ind w:left="993" w:hanging="284"/>
        <w:rPr>
          <w:rFonts w:cs="Arial"/>
          <w:bCs/>
        </w:rPr>
      </w:pPr>
      <w:r>
        <w:rPr>
          <w:rFonts w:cs="Arial"/>
          <w:bCs/>
        </w:rPr>
        <w:t>covered paved area</w:t>
      </w:r>
      <w:r>
        <w:rPr>
          <w:rFonts w:cs="Arial"/>
        </w:rPr>
        <w:t xml:space="preserve"> to the play area elevation</w:t>
      </w:r>
      <w:r>
        <w:rPr>
          <w:rFonts w:cs="Arial"/>
          <w:bCs/>
        </w:rPr>
        <w:t>;</w:t>
      </w:r>
    </w:p>
    <w:p w:rsidR="0038031F" w:rsidP="0038031F">
      <w:pPr>
        <w:numPr>
          <w:ilvl w:val="0"/>
          <w:numId w:val="1"/>
        </w:numPr>
        <w:ind w:left="993" w:hanging="284"/>
        <w:rPr>
          <w:rFonts w:cs="Arial"/>
          <w:bCs/>
        </w:rPr>
      </w:pPr>
      <w:r>
        <w:rPr>
          <w:rFonts w:cs="Arial"/>
          <w:bCs/>
        </w:rPr>
        <w:t xml:space="preserve">external small equipment storage; and </w:t>
      </w:r>
    </w:p>
    <w:p w:rsidR="0038031F" w:rsidP="0038031F">
      <w:pPr>
        <w:numPr>
          <w:ilvl w:val="0"/>
          <w:numId w:val="1"/>
        </w:numPr>
        <w:ind w:left="993" w:hanging="284"/>
        <w:rPr>
          <w:rFonts w:cs="Arial"/>
          <w:bCs/>
        </w:rPr>
      </w:pPr>
      <w:r>
        <w:rPr>
          <w:rFonts w:cs="Arial"/>
          <w:bCs/>
        </w:rPr>
        <w:t>plant room.</w:t>
      </w:r>
    </w:p>
    <w:p w:rsidR="0038031F" w:rsidP="0038031F">
      <w:pPr>
        <w:ind w:left="1797"/>
        <w:rPr>
          <w:rFonts w:cs="Arial"/>
          <w:bCs/>
        </w:rPr>
      </w:pPr>
    </w:p>
    <w:p w:rsidR="0038031F" w:rsidP="0038031F">
      <w:pPr>
        <w:pStyle w:val="ListParagraph"/>
        <w:numPr>
          <w:ilvl w:val="0"/>
          <w:numId w:val="4"/>
        </w:numPr>
        <w:ind w:left="426" w:hanging="426"/>
      </w:pPr>
      <w:r>
        <w:t xml:space="preserve">An extension to the existing car park which </w:t>
      </w:r>
      <w:r w:rsidRPr="0038031F">
        <w:rPr>
          <w:bCs/>
        </w:rPr>
        <w:t>will allow for a further 75 spaces plus two accessible parking bays for disabled visitors, two mini</w:t>
      </w:r>
      <w:r>
        <w:t>-</w:t>
      </w:r>
      <w:r w:rsidRPr="0038031F">
        <w:rPr>
          <w:bCs/>
        </w:rPr>
        <w:t>bus spaces, EV charging points, and secure cycle storage</w:t>
      </w:r>
      <w:r>
        <w:t xml:space="preserve">.  This macadam car park extension will include </w:t>
      </w:r>
      <w:r w:rsidR="00CA0792">
        <w:t xml:space="preserve">formal </w:t>
      </w:r>
      <w:r>
        <w:t xml:space="preserve">drainage and 6m high street lighting. </w:t>
      </w:r>
    </w:p>
    <w:p w:rsidR="007A4FAC" w:rsidP="0038031F">
      <w:pPr>
        <w:pStyle w:val="ListParagraph"/>
        <w:ind w:left="426"/>
      </w:pPr>
    </w:p>
    <w:p w:rsidR="00CA0792" w:rsidP="0038031F">
      <w:pPr>
        <w:pStyle w:val="ListParagraph"/>
        <w:numPr>
          <w:ilvl w:val="0"/>
          <w:numId w:val="4"/>
        </w:numPr>
        <w:ind w:left="426" w:hanging="426"/>
      </w:pPr>
      <w:r>
        <w:t>The proposals will also include amendments to the geometry to the highway junction to improve sight lines and turning.</w:t>
      </w:r>
    </w:p>
    <w:p w:rsidR="00580FFC" w:rsidP="00580FFC">
      <w:pPr>
        <w:pStyle w:val="ListParagraph"/>
      </w:pPr>
    </w:p>
    <w:p w:rsidR="00580FFC" w:rsidP="00580FFC">
      <w:pPr>
        <w:pStyle w:val="ListParagraph"/>
        <w:numPr>
          <w:ilvl w:val="0"/>
          <w:numId w:val="4"/>
        </w:numPr>
        <w:ind w:left="426" w:hanging="426"/>
      </w:pPr>
      <w:r>
        <w:t xml:space="preserve">We have organised a simple electrical test at the Leisure Centre to establish whether there is sufficient capacity to power the 24 lamps included in the AGP proposals which will draw down approximately 55A per phase. While the Leisure Centre was closed at the time of the testing, pool heating was still in operation and reasonable assumptions were made for electrical demand </w:t>
      </w:r>
    </w:p>
    <w:p w:rsidR="00580FFC" w:rsidRPr="007A4FAC" w:rsidP="00580FFC"/>
    <w:p w:rsidR="00580FFC" w:rsidP="0038031F">
      <w:pPr>
        <w:pStyle w:val="ListParagraph"/>
        <w:numPr>
          <w:ilvl w:val="0"/>
          <w:numId w:val="4"/>
        </w:numPr>
        <w:ind w:left="426" w:hanging="426"/>
      </w:pPr>
      <w:r>
        <w:t>The AGPs, the pavilion, car park and junction improvements would be considered 'eligible expenditure' and will be the subject of the application to the Football Foundation. They are therefore the con</w:t>
      </w:r>
      <w:r w:rsidR="00A52AA5">
        <w:t>stituent parts of</w:t>
      </w:r>
      <w:r>
        <w:t xml:space="preserve"> the planning application we would like to submit at the end of September.  We have not forgotten refurbishments to the Leisure Centre both externally </w:t>
      </w:r>
      <w:r w:rsidR="003106BD">
        <w:t xml:space="preserve">(cladding for example) </w:t>
      </w:r>
      <w:r>
        <w:t xml:space="preserve">and in remodelling the café / toilets area, but it is important that we focus now on securing a planning approval to accompany the Football Foundation application in January 2021.  We will make a separate planning application for any works to the existing Leisure Centre. </w:t>
      </w:r>
    </w:p>
    <w:p w:rsidR="00A52AA5" w:rsidP="00A52AA5">
      <w:pPr>
        <w:pStyle w:val="ListParagraph"/>
      </w:pPr>
    </w:p>
    <w:p w:rsidR="00A52AA5" w:rsidP="0038031F">
      <w:pPr>
        <w:pStyle w:val="ListParagraph"/>
        <w:numPr>
          <w:ilvl w:val="0"/>
          <w:numId w:val="4"/>
        </w:numPr>
        <w:ind w:left="426" w:hanging="426"/>
      </w:pPr>
      <w:r>
        <w:t>I set out below our</w:t>
      </w:r>
      <w:r w:rsidR="003106BD">
        <w:t xml:space="preserve"> estimated </w:t>
      </w:r>
      <w:r>
        <w:t xml:space="preserve">'whole project costs' </w:t>
      </w:r>
      <w:r w:rsidR="003106BD">
        <w:t xml:space="preserve">that would </w:t>
      </w:r>
      <w:r w:rsidR="00FC4B03">
        <w:t>eligible inclusions in</w:t>
      </w:r>
      <w:r w:rsidR="003106BD">
        <w:t xml:space="preserve"> a Football Foundation application. I have separately allocated a notional cost </w:t>
      </w:r>
      <w:r>
        <w:t>for works to the Leisure Centre even though at the moment these improvements are not wholly defined.</w:t>
      </w:r>
      <w:r w:rsidR="00FC4B03">
        <w:t xml:space="preserve">  All costs exclude VAT.</w:t>
      </w:r>
    </w:p>
    <w:p w:rsidR="00CA0792" w:rsidP="00CA0792">
      <w:pPr>
        <w:pStyle w:val="ListParagraph"/>
      </w:pPr>
    </w:p>
    <w:tbl>
      <w:tblPr>
        <w:tblStyle w:val="TableGrid"/>
        <w:tblW w:w="8630" w:type="dxa"/>
        <w:tblInd w:w="704" w:type="dxa"/>
        <w:tblBorders>
          <w:top w:val="single" w:sz="12" w:space="0" w:color="auto"/>
          <w:left w:val="single" w:sz="12" w:space="0" w:color="auto"/>
          <w:bottom w:val="single" w:sz="12" w:space="0" w:color="auto"/>
          <w:right w:val="single" w:sz="12" w:space="0" w:color="auto"/>
        </w:tblBorders>
        <w:tblLook w:val="04A0"/>
      </w:tblPr>
      <w:tblGrid>
        <w:gridCol w:w="699"/>
        <w:gridCol w:w="6662"/>
        <w:gridCol w:w="1256"/>
        <w:gridCol w:w="13"/>
      </w:tblGrid>
      <w:tr w:rsidTr="00D731A6">
        <w:tblPrEx>
          <w:tblW w:w="8630" w:type="dxa"/>
          <w:tblInd w:w="704" w:type="dxa"/>
          <w:tblBorders>
            <w:top w:val="single" w:sz="12" w:space="0" w:color="auto"/>
            <w:left w:val="single" w:sz="12" w:space="0" w:color="auto"/>
            <w:bottom w:val="single" w:sz="12" w:space="0" w:color="auto"/>
            <w:right w:val="single" w:sz="12" w:space="0" w:color="auto"/>
          </w:tblBorders>
          <w:tblLook w:val="04A0"/>
        </w:tblPrEx>
        <w:trPr>
          <w:gridAfter w:val="1"/>
          <w:wAfter w:w="13" w:type="dxa"/>
        </w:trPr>
        <w:tc>
          <w:tcPr>
            <w:tcW w:w="699" w:type="dxa"/>
            <w:tcBorders>
              <w:top w:val="single" w:sz="12" w:space="0" w:color="auto"/>
              <w:bottom w:val="single" w:sz="12" w:space="0" w:color="auto"/>
            </w:tcBorders>
            <w:shd w:val="clear" w:color="auto" w:fill="D9D9D9" w:themeFill="background1" w:themeFillShade="D9"/>
          </w:tcPr>
          <w:p w:rsidR="00D731A6" w:rsidRPr="00D731A6" w:rsidP="00E35FF8">
            <w:pPr>
              <w:ind w:left="360" w:hanging="360"/>
              <w:rPr>
                <w:b/>
                <w:bCs/>
              </w:rPr>
            </w:pPr>
            <w:r w:rsidRPr="00D731A6">
              <w:rPr>
                <w:b/>
                <w:bCs/>
              </w:rPr>
              <w:t>ITEM</w:t>
            </w:r>
          </w:p>
        </w:tc>
        <w:tc>
          <w:tcPr>
            <w:tcW w:w="6662" w:type="dxa"/>
            <w:tcBorders>
              <w:top w:val="single" w:sz="12" w:space="0" w:color="auto"/>
              <w:bottom w:val="single" w:sz="12" w:space="0" w:color="auto"/>
            </w:tcBorders>
            <w:shd w:val="clear" w:color="auto" w:fill="D9D9D9" w:themeFill="background1" w:themeFillShade="D9"/>
          </w:tcPr>
          <w:p w:rsidR="00D731A6" w:rsidRPr="00D731A6" w:rsidP="00E35FF8">
            <w:pPr>
              <w:rPr>
                <w:b/>
                <w:bCs/>
              </w:rPr>
            </w:pPr>
            <w:r w:rsidRPr="00D731A6">
              <w:rPr>
                <w:b/>
                <w:bCs/>
              </w:rPr>
              <w:t>DESCRIPTION</w:t>
            </w:r>
          </w:p>
        </w:tc>
        <w:tc>
          <w:tcPr>
            <w:tcW w:w="1256" w:type="dxa"/>
            <w:tcBorders>
              <w:top w:val="single" w:sz="12" w:space="0" w:color="auto"/>
              <w:bottom w:val="single" w:sz="12" w:space="0" w:color="auto"/>
            </w:tcBorders>
            <w:shd w:val="clear" w:color="auto" w:fill="D9D9D9" w:themeFill="background1" w:themeFillShade="D9"/>
          </w:tcPr>
          <w:p w:rsidR="00D731A6" w:rsidRPr="00D731A6" w:rsidP="00E35FF8">
            <w:pPr>
              <w:jc w:val="right"/>
              <w:rPr>
                <w:b/>
                <w:bCs/>
              </w:rPr>
            </w:pPr>
            <w:r w:rsidRPr="00D731A6">
              <w:rPr>
                <w:b/>
                <w:bCs/>
              </w:rPr>
              <w:t>COST</w:t>
            </w:r>
          </w:p>
        </w:tc>
      </w:tr>
      <w:tr w:rsidTr="00D731A6">
        <w:tblPrEx>
          <w:tblW w:w="8630" w:type="dxa"/>
          <w:tblInd w:w="704" w:type="dxa"/>
          <w:tblLook w:val="04A0"/>
        </w:tblPrEx>
        <w:tc>
          <w:tcPr>
            <w:tcW w:w="699" w:type="dxa"/>
          </w:tcPr>
          <w:p w:rsidR="00D731A6" w:rsidRPr="007A4FAC" w:rsidP="00D731A6">
            <w:pPr>
              <w:pStyle w:val="ListParagraph"/>
              <w:numPr>
                <w:ilvl w:val="0"/>
                <w:numId w:val="12"/>
              </w:numPr>
              <w:jc w:val="center"/>
            </w:pPr>
          </w:p>
        </w:tc>
        <w:tc>
          <w:tcPr>
            <w:tcW w:w="6662" w:type="dxa"/>
          </w:tcPr>
          <w:p w:rsidR="00D731A6" w:rsidRPr="007A4FAC" w:rsidP="00E35FF8">
            <w:r w:rsidRPr="007A4FAC">
              <w:t xml:space="preserve">For the </w:t>
            </w:r>
            <w:r>
              <w:t xml:space="preserve">two </w:t>
            </w:r>
            <w:r w:rsidRPr="007A4FAC">
              <w:t>3G AGP</w:t>
            </w:r>
            <w:r>
              <w:t>s</w:t>
            </w:r>
            <w:r w:rsidRPr="007A4FAC">
              <w:t xml:space="preserve"> </w:t>
            </w:r>
            <w:r>
              <w:t xml:space="preserve">including tree removal and replanting </w:t>
            </w:r>
          </w:p>
        </w:tc>
        <w:tc>
          <w:tcPr>
            <w:tcW w:w="1269" w:type="dxa"/>
            <w:gridSpan w:val="2"/>
          </w:tcPr>
          <w:p w:rsidR="00D731A6" w:rsidRPr="007A4FAC" w:rsidP="00E35FF8">
            <w:pPr>
              <w:jc w:val="right"/>
            </w:pPr>
            <w:r>
              <w:t>1,50</w:t>
            </w:r>
            <w:r w:rsidRPr="007A4FAC">
              <w:t>0,000</w:t>
            </w:r>
          </w:p>
        </w:tc>
      </w:tr>
      <w:tr w:rsidTr="00D731A6">
        <w:tblPrEx>
          <w:tblW w:w="8630" w:type="dxa"/>
          <w:tblInd w:w="704" w:type="dxa"/>
          <w:tblLook w:val="04A0"/>
        </w:tblPrEx>
        <w:tc>
          <w:tcPr>
            <w:tcW w:w="699" w:type="dxa"/>
          </w:tcPr>
          <w:p w:rsidR="00D731A6" w:rsidRPr="007A4FAC" w:rsidP="00D731A6">
            <w:pPr>
              <w:pStyle w:val="ListParagraph"/>
              <w:numPr>
                <w:ilvl w:val="0"/>
                <w:numId w:val="12"/>
              </w:numPr>
              <w:jc w:val="center"/>
            </w:pPr>
          </w:p>
        </w:tc>
        <w:tc>
          <w:tcPr>
            <w:tcW w:w="6662" w:type="dxa"/>
          </w:tcPr>
          <w:p w:rsidR="00D731A6" w:rsidRPr="007A4FAC" w:rsidP="00E35FF8">
            <w:r w:rsidRPr="007A4FAC">
              <w:t xml:space="preserve">For the </w:t>
            </w:r>
            <w:r>
              <w:t>stand-alone pavilion (with a more detailed cost breakdown below)</w:t>
            </w:r>
          </w:p>
        </w:tc>
        <w:tc>
          <w:tcPr>
            <w:tcW w:w="1269" w:type="dxa"/>
            <w:gridSpan w:val="2"/>
          </w:tcPr>
          <w:p w:rsidR="00D731A6" w:rsidRPr="007A4FAC" w:rsidP="00E35FF8">
            <w:pPr>
              <w:jc w:val="right"/>
            </w:pPr>
            <w:r>
              <w:t>88</w:t>
            </w:r>
            <w:r w:rsidRPr="007A4FAC">
              <w:t>0,000</w:t>
            </w:r>
          </w:p>
        </w:tc>
      </w:tr>
      <w:tr w:rsidTr="00D731A6">
        <w:tblPrEx>
          <w:tblW w:w="8630" w:type="dxa"/>
          <w:tblInd w:w="704" w:type="dxa"/>
          <w:tblLook w:val="04A0"/>
        </w:tblPrEx>
        <w:tc>
          <w:tcPr>
            <w:tcW w:w="699" w:type="dxa"/>
          </w:tcPr>
          <w:p w:rsidR="00D731A6" w:rsidRPr="007A4FAC" w:rsidP="00D731A6">
            <w:pPr>
              <w:pStyle w:val="ListParagraph"/>
              <w:numPr>
                <w:ilvl w:val="0"/>
                <w:numId w:val="12"/>
              </w:numPr>
              <w:jc w:val="center"/>
            </w:pPr>
          </w:p>
        </w:tc>
        <w:tc>
          <w:tcPr>
            <w:tcW w:w="6662" w:type="dxa"/>
          </w:tcPr>
          <w:p w:rsidR="00D731A6" w:rsidRPr="007A4FAC" w:rsidP="00E35FF8">
            <w:r w:rsidRPr="007A4FAC">
              <w:t xml:space="preserve">For the </w:t>
            </w:r>
            <w:r>
              <w:t>car park extension</w:t>
            </w:r>
            <w:r w:rsidRPr="007A4FAC">
              <w:t xml:space="preserve"> and </w:t>
            </w:r>
            <w:r w:rsidR="00FC4B03">
              <w:t>access</w:t>
            </w:r>
            <w:r>
              <w:t xml:space="preserve"> </w:t>
            </w:r>
            <w:r w:rsidR="00FC4B03">
              <w:t>improvements</w:t>
            </w:r>
            <w:r w:rsidRPr="007A4FAC">
              <w:t xml:space="preserve"> </w:t>
            </w:r>
          </w:p>
        </w:tc>
        <w:tc>
          <w:tcPr>
            <w:tcW w:w="1269" w:type="dxa"/>
            <w:gridSpan w:val="2"/>
          </w:tcPr>
          <w:p w:rsidR="00D731A6" w:rsidRPr="007A4FAC" w:rsidP="00E35FF8">
            <w:pPr>
              <w:jc w:val="right"/>
            </w:pPr>
            <w:r>
              <w:t>22</w:t>
            </w:r>
            <w:r w:rsidRPr="007A4FAC">
              <w:t>0,000</w:t>
            </w:r>
          </w:p>
        </w:tc>
      </w:tr>
      <w:tr w:rsidTr="00D731A6">
        <w:tblPrEx>
          <w:tblW w:w="8630" w:type="dxa"/>
          <w:tblInd w:w="704" w:type="dxa"/>
          <w:tblLook w:val="04A0"/>
        </w:tblPrEx>
        <w:tc>
          <w:tcPr>
            <w:tcW w:w="699" w:type="dxa"/>
            <w:tcBorders>
              <w:bottom w:val="single" w:sz="12" w:space="0" w:color="auto"/>
            </w:tcBorders>
          </w:tcPr>
          <w:p w:rsidR="00D731A6" w:rsidP="00D731A6">
            <w:pPr>
              <w:pStyle w:val="ListParagraph"/>
              <w:numPr>
                <w:ilvl w:val="0"/>
                <w:numId w:val="12"/>
              </w:numPr>
              <w:jc w:val="center"/>
            </w:pPr>
          </w:p>
        </w:tc>
        <w:tc>
          <w:tcPr>
            <w:tcW w:w="6662" w:type="dxa"/>
            <w:tcBorders>
              <w:bottom w:val="single" w:sz="12" w:space="0" w:color="auto"/>
            </w:tcBorders>
          </w:tcPr>
          <w:p w:rsidR="00D731A6" w:rsidRPr="007A4FAC" w:rsidP="00E35FF8">
            <w:r>
              <w:t>For surveys, professional fees and statutory charges</w:t>
            </w:r>
          </w:p>
        </w:tc>
        <w:tc>
          <w:tcPr>
            <w:tcW w:w="1269" w:type="dxa"/>
            <w:gridSpan w:val="2"/>
            <w:tcBorders>
              <w:bottom w:val="single" w:sz="12" w:space="0" w:color="auto"/>
            </w:tcBorders>
          </w:tcPr>
          <w:p w:rsidR="00D731A6" w:rsidRPr="007A4FAC" w:rsidP="00E35FF8">
            <w:pPr>
              <w:jc w:val="right"/>
            </w:pPr>
            <w:r>
              <w:t>13</w:t>
            </w:r>
            <w:r w:rsidRPr="007A4FAC">
              <w:t>0,000</w:t>
            </w:r>
          </w:p>
        </w:tc>
      </w:tr>
      <w:tr w:rsidTr="00D731A6">
        <w:tblPrEx>
          <w:tblW w:w="8630" w:type="dxa"/>
          <w:tblInd w:w="704" w:type="dxa"/>
          <w:tblLook w:val="04A0"/>
        </w:tblPrEx>
        <w:tc>
          <w:tcPr>
            <w:tcW w:w="699" w:type="dxa"/>
            <w:tcBorders>
              <w:top w:val="single" w:sz="12" w:space="0" w:color="auto"/>
              <w:bottom w:val="single" w:sz="12" w:space="0" w:color="auto"/>
            </w:tcBorders>
            <w:shd w:val="clear" w:color="auto" w:fill="D9D9D9" w:themeFill="background1" w:themeFillShade="D9"/>
          </w:tcPr>
          <w:p w:rsidR="00D731A6" w:rsidRPr="00D731A6" w:rsidP="00D731A6">
            <w:pPr>
              <w:pStyle w:val="ListParagraph"/>
              <w:ind w:left="360"/>
              <w:rPr>
                <w:b/>
              </w:rPr>
            </w:pPr>
          </w:p>
        </w:tc>
        <w:tc>
          <w:tcPr>
            <w:tcW w:w="6662" w:type="dxa"/>
            <w:tcBorders>
              <w:top w:val="single" w:sz="12" w:space="0" w:color="auto"/>
              <w:bottom w:val="single" w:sz="12" w:space="0" w:color="auto"/>
            </w:tcBorders>
            <w:shd w:val="clear" w:color="auto" w:fill="D9D9D9" w:themeFill="background1" w:themeFillShade="D9"/>
          </w:tcPr>
          <w:p w:rsidR="00D731A6" w:rsidRPr="003106BD" w:rsidP="00D731A6">
            <w:pPr>
              <w:jc w:val="right"/>
              <w:rPr>
                <w:b/>
                <w:bCs/>
              </w:rPr>
            </w:pPr>
            <w:r>
              <w:rPr>
                <w:b/>
                <w:bCs/>
              </w:rPr>
              <w:t>F</w:t>
            </w:r>
            <w:r w:rsidRPr="003106BD">
              <w:rPr>
                <w:b/>
                <w:bCs/>
              </w:rPr>
              <w:t xml:space="preserve">ootball </w:t>
            </w:r>
            <w:r>
              <w:rPr>
                <w:b/>
                <w:bCs/>
              </w:rPr>
              <w:t>F</w:t>
            </w:r>
            <w:r w:rsidRPr="003106BD">
              <w:rPr>
                <w:b/>
                <w:bCs/>
              </w:rPr>
              <w:t xml:space="preserve">oundation </w:t>
            </w:r>
            <w:r>
              <w:rPr>
                <w:b/>
                <w:bCs/>
              </w:rPr>
              <w:t>'Whole Project C</w:t>
            </w:r>
            <w:r w:rsidRPr="003106BD">
              <w:rPr>
                <w:b/>
                <w:bCs/>
              </w:rPr>
              <w:t>osts</w:t>
            </w:r>
            <w:r>
              <w:rPr>
                <w:b/>
                <w:bCs/>
              </w:rPr>
              <w:t>'</w:t>
            </w:r>
            <w:r w:rsidRPr="003106BD">
              <w:rPr>
                <w:b/>
                <w:bCs/>
              </w:rPr>
              <w:t xml:space="preserve"> </w:t>
            </w:r>
          </w:p>
        </w:tc>
        <w:tc>
          <w:tcPr>
            <w:tcW w:w="1269" w:type="dxa"/>
            <w:gridSpan w:val="2"/>
            <w:tcBorders>
              <w:top w:val="single" w:sz="12" w:space="0" w:color="auto"/>
              <w:bottom w:val="single" w:sz="12" w:space="0" w:color="auto"/>
            </w:tcBorders>
            <w:shd w:val="clear" w:color="auto" w:fill="D9D9D9" w:themeFill="background1" w:themeFillShade="D9"/>
          </w:tcPr>
          <w:p w:rsidR="00D731A6" w:rsidRPr="003106BD" w:rsidP="00E35FF8">
            <w:pPr>
              <w:jc w:val="right"/>
              <w:rPr>
                <w:b/>
                <w:bCs/>
              </w:rPr>
            </w:pPr>
            <w:r w:rsidRPr="003106BD">
              <w:rPr>
                <w:b/>
                <w:bCs/>
              </w:rPr>
              <w:fldChar w:fldCharType="begin"/>
            </w:r>
            <w:r w:rsidRPr="003106BD">
              <w:rPr>
                <w:b/>
                <w:bCs/>
              </w:rPr>
              <w:instrText xml:space="preserve"> =SUM(ABOVE) </w:instrText>
            </w:r>
            <w:r w:rsidRPr="003106BD">
              <w:rPr>
                <w:b/>
                <w:bCs/>
              </w:rPr>
              <w:fldChar w:fldCharType="separate"/>
            </w:r>
            <w:r w:rsidRPr="003106BD">
              <w:rPr>
                <w:b/>
                <w:bCs/>
                <w:noProof/>
              </w:rPr>
              <w:t>2,730,000</w:t>
            </w:r>
            <w:r w:rsidRPr="003106BD">
              <w:rPr>
                <w:b/>
                <w:bCs/>
              </w:rPr>
              <w:fldChar w:fldCharType="end"/>
            </w:r>
          </w:p>
        </w:tc>
      </w:tr>
      <w:tr w:rsidTr="00D731A6">
        <w:tblPrEx>
          <w:tblW w:w="8630" w:type="dxa"/>
          <w:tblInd w:w="704" w:type="dxa"/>
          <w:tblLook w:val="04A0"/>
        </w:tblPrEx>
        <w:tc>
          <w:tcPr>
            <w:tcW w:w="699" w:type="dxa"/>
            <w:tcBorders>
              <w:top w:val="single" w:sz="12" w:space="0" w:color="auto"/>
            </w:tcBorders>
          </w:tcPr>
          <w:p w:rsidR="00D731A6" w:rsidRPr="0070668A" w:rsidP="00D731A6">
            <w:pPr>
              <w:pStyle w:val="ListParagraph"/>
              <w:numPr>
                <w:ilvl w:val="0"/>
                <w:numId w:val="12"/>
              </w:numPr>
              <w:jc w:val="center"/>
              <w:rPr>
                <w:lang w:eastAsia="en-GB"/>
              </w:rPr>
            </w:pPr>
          </w:p>
        </w:tc>
        <w:tc>
          <w:tcPr>
            <w:tcW w:w="6662" w:type="dxa"/>
            <w:tcBorders>
              <w:top w:val="single" w:sz="12" w:space="0" w:color="auto"/>
            </w:tcBorders>
          </w:tcPr>
          <w:p w:rsidR="00D731A6" w:rsidRPr="003106BD" w:rsidP="003106BD">
            <w:r w:rsidRPr="0070668A">
              <w:rPr>
                <w:lang w:eastAsia="en-GB"/>
              </w:rPr>
              <w:t>Less possible FF award</w:t>
            </w:r>
            <w:r>
              <w:rPr>
                <w:lang w:eastAsia="en-GB"/>
              </w:rPr>
              <w:t xml:space="preserve"> request (34.8%)</w:t>
            </w:r>
          </w:p>
        </w:tc>
        <w:tc>
          <w:tcPr>
            <w:tcW w:w="1269" w:type="dxa"/>
            <w:gridSpan w:val="2"/>
            <w:tcBorders>
              <w:top w:val="single" w:sz="12" w:space="0" w:color="auto"/>
            </w:tcBorders>
          </w:tcPr>
          <w:p w:rsidR="00D731A6" w:rsidRPr="003106BD" w:rsidP="003106BD">
            <w:pPr>
              <w:jc w:val="right"/>
            </w:pPr>
            <w:r w:rsidRPr="0070668A">
              <w:rPr>
                <w:lang w:eastAsia="en-GB"/>
              </w:rPr>
              <w:t>-950,000</w:t>
            </w:r>
          </w:p>
        </w:tc>
      </w:tr>
      <w:tr w:rsidTr="00D731A6">
        <w:tblPrEx>
          <w:tblW w:w="8630" w:type="dxa"/>
          <w:tblInd w:w="704" w:type="dxa"/>
          <w:tblLook w:val="04A0"/>
        </w:tblPrEx>
        <w:tc>
          <w:tcPr>
            <w:tcW w:w="699" w:type="dxa"/>
          </w:tcPr>
          <w:p w:rsidR="00D731A6" w:rsidP="00D731A6">
            <w:pPr>
              <w:pStyle w:val="ListParagraph"/>
              <w:numPr>
                <w:ilvl w:val="0"/>
                <w:numId w:val="12"/>
              </w:numPr>
              <w:jc w:val="center"/>
              <w:rPr>
                <w:lang w:eastAsia="en-GB"/>
              </w:rPr>
            </w:pPr>
          </w:p>
        </w:tc>
        <w:tc>
          <w:tcPr>
            <w:tcW w:w="6662" w:type="dxa"/>
          </w:tcPr>
          <w:p w:rsidR="00D731A6" w:rsidRPr="003106BD" w:rsidP="003106BD">
            <w:r>
              <w:rPr>
                <w:lang w:eastAsia="en-GB"/>
              </w:rPr>
              <w:t xml:space="preserve">Potential </w:t>
            </w:r>
            <w:r w:rsidR="001A4F92">
              <w:rPr>
                <w:lang w:eastAsia="en-GB"/>
              </w:rPr>
              <w:t>South Ribble</w:t>
            </w:r>
            <w:r w:rsidRPr="0070668A">
              <w:rPr>
                <w:lang w:eastAsia="en-GB"/>
              </w:rPr>
              <w:t xml:space="preserve"> Council contribution</w:t>
            </w:r>
          </w:p>
        </w:tc>
        <w:tc>
          <w:tcPr>
            <w:tcW w:w="1269" w:type="dxa"/>
            <w:gridSpan w:val="2"/>
          </w:tcPr>
          <w:p w:rsidR="00D731A6" w:rsidRPr="003106BD" w:rsidP="003106BD">
            <w:pPr>
              <w:jc w:val="right"/>
            </w:pPr>
            <w:r>
              <w:rPr>
                <w:lang w:eastAsia="en-GB"/>
              </w:rPr>
              <w:fldChar w:fldCharType="begin"/>
            </w:r>
            <w:r>
              <w:rPr>
                <w:lang w:eastAsia="en-GB"/>
              </w:rPr>
              <w:instrText xml:space="preserve"> =SUM(ABOVE) </w:instrText>
            </w:r>
            <w:r>
              <w:rPr>
                <w:lang w:eastAsia="en-GB"/>
              </w:rPr>
              <w:fldChar w:fldCharType="separate"/>
            </w:r>
            <w:r>
              <w:rPr>
                <w:noProof/>
                <w:lang w:eastAsia="en-GB"/>
              </w:rPr>
              <w:t>1,780,000</w:t>
            </w:r>
            <w:r>
              <w:rPr>
                <w:lang w:eastAsia="en-GB"/>
              </w:rPr>
              <w:fldChar w:fldCharType="end"/>
            </w:r>
          </w:p>
        </w:tc>
      </w:tr>
    </w:tbl>
    <w:p w:rsidR="00D731A6"/>
    <w:tbl>
      <w:tblPr>
        <w:tblStyle w:val="TableGrid"/>
        <w:tblW w:w="8630" w:type="dxa"/>
        <w:tblInd w:w="704" w:type="dxa"/>
        <w:tblBorders>
          <w:top w:val="single" w:sz="12" w:space="0" w:color="auto"/>
          <w:left w:val="single" w:sz="12" w:space="0" w:color="auto"/>
          <w:bottom w:val="single" w:sz="12" w:space="0" w:color="auto"/>
          <w:right w:val="single" w:sz="12" w:space="0" w:color="auto"/>
        </w:tblBorders>
        <w:tblLook w:val="04A0"/>
      </w:tblPr>
      <w:tblGrid>
        <w:gridCol w:w="699"/>
        <w:gridCol w:w="6662"/>
        <w:gridCol w:w="1269"/>
      </w:tblGrid>
      <w:tr w:rsidTr="00D731A6">
        <w:tblPrEx>
          <w:tblW w:w="8630" w:type="dxa"/>
          <w:tblInd w:w="704" w:type="dxa"/>
          <w:tblBorders>
            <w:top w:val="single" w:sz="12" w:space="0" w:color="auto"/>
            <w:left w:val="single" w:sz="12" w:space="0" w:color="auto"/>
            <w:bottom w:val="single" w:sz="12" w:space="0" w:color="auto"/>
            <w:right w:val="single" w:sz="12" w:space="0" w:color="auto"/>
          </w:tblBorders>
          <w:tblLook w:val="04A0"/>
        </w:tblPrEx>
        <w:tc>
          <w:tcPr>
            <w:tcW w:w="699" w:type="dxa"/>
          </w:tcPr>
          <w:p w:rsidR="00D731A6" w:rsidRPr="007A4FAC" w:rsidP="00D731A6">
            <w:pPr>
              <w:pStyle w:val="ListParagraph"/>
              <w:numPr>
                <w:ilvl w:val="0"/>
                <w:numId w:val="12"/>
              </w:numPr>
              <w:jc w:val="center"/>
            </w:pPr>
          </w:p>
        </w:tc>
        <w:tc>
          <w:tcPr>
            <w:tcW w:w="6662" w:type="dxa"/>
          </w:tcPr>
          <w:p w:rsidR="00D731A6" w:rsidRPr="007A4FAC" w:rsidP="00D731A6">
            <w:r>
              <w:t>Football Foundation whole project costs</w:t>
            </w:r>
          </w:p>
        </w:tc>
        <w:tc>
          <w:tcPr>
            <w:tcW w:w="1269" w:type="dxa"/>
          </w:tcPr>
          <w:p w:rsidR="00D731A6" w:rsidRPr="007A4FAC" w:rsidP="00D731A6">
            <w:pPr>
              <w:jc w:val="right"/>
            </w:pPr>
            <w:r w:rsidRPr="003106BD">
              <w:t>2,730,000</w:t>
            </w:r>
          </w:p>
        </w:tc>
      </w:tr>
      <w:tr w:rsidTr="00D731A6">
        <w:tblPrEx>
          <w:tblW w:w="8630" w:type="dxa"/>
          <w:tblInd w:w="704" w:type="dxa"/>
          <w:tblLook w:val="04A0"/>
        </w:tblPrEx>
        <w:tc>
          <w:tcPr>
            <w:tcW w:w="699" w:type="dxa"/>
            <w:tcBorders>
              <w:bottom w:val="single" w:sz="12" w:space="0" w:color="auto"/>
            </w:tcBorders>
          </w:tcPr>
          <w:p w:rsidR="00D731A6" w:rsidP="00D731A6">
            <w:pPr>
              <w:pStyle w:val="ListParagraph"/>
              <w:numPr>
                <w:ilvl w:val="0"/>
                <w:numId w:val="12"/>
              </w:numPr>
              <w:jc w:val="center"/>
            </w:pPr>
          </w:p>
        </w:tc>
        <w:tc>
          <w:tcPr>
            <w:tcW w:w="6662" w:type="dxa"/>
            <w:tcBorders>
              <w:bottom w:val="single" w:sz="12" w:space="0" w:color="auto"/>
            </w:tcBorders>
          </w:tcPr>
          <w:p w:rsidR="00D731A6" w:rsidRPr="007A4FAC" w:rsidP="00D731A6">
            <w:r>
              <w:t>Leisure Centre refurbishment / remodelling</w:t>
            </w:r>
          </w:p>
        </w:tc>
        <w:tc>
          <w:tcPr>
            <w:tcW w:w="1269" w:type="dxa"/>
            <w:tcBorders>
              <w:bottom w:val="single" w:sz="12" w:space="0" w:color="auto"/>
            </w:tcBorders>
          </w:tcPr>
          <w:p w:rsidR="00D731A6" w:rsidRPr="007A4FAC" w:rsidP="00D731A6">
            <w:pPr>
              <w:jc w:val="right"/>
            </w:pPr>
            <w:r>
              <w:t>500,000</w:t>
            </w:r>
          </w:p>
        </w:tc>
      </w:tr>
      <w:tr w:rsidTr="00D731A6">
        <w:tblPrEx>
          <w:tblW w:w="8630" w:type="dxa"/>
          <w:tblInd w:w="704" w:type="dxa"/>
          <w:tblLook w:val="04A0"/>
        </w:tblPrEx>
        <w:tc>
          <w:tcPr>
            <w:tcW w:w="699" w:type="dxa"/>
            <w:tcBorders>
              <w:top w:val="single" w:sz="12" w:space="0" w:color="auto"/>
              <w:bottom w:val="single" w:sz="12" w:space="0" w:color="auto"/>
            </w:tcBorders>
            <w:shd w:val="clear" w:color="auto" w:fill="D9D9D9" w:themeFill="background1" w:themeFillShade="D9"/>
          </w:tcPr>
          <w:p w:rsidR="00D731A6" w:rsidRPr="00D731A6" w:rsidP="00D731A6">
            <w:pPr>
              <w:pStyle w:val="ListParagraph"/>
              <w:ind w:left="360"/>
              <w:rPr>
                <w:b/>
                <w:bCs/>
              </w:rPr>
            </w:pPr>
          </w:p>
        </w:tc>
        <w:tc>
          <w:tcPr>
            <w:tcW w:w="6662" w:type="dxa"/>
            <w:tcBorders>
              <w:top w:val="single" w:sz="12" w:space="0" w:color="auto"/>
              <w:bottom w:val="single" w:sz="12" w:space="0" w:color="auto"/>
            </w:tcBorders>
            <w:shd w:val="clear" w:color="auto" w:fill="D9D9D9" w:themeFill="background1" w:themeFillShade="D9"/>
          </w:tcPr>
          <w:p w:rsidR="00D731A6" w:rsidRPr="003106BD" w:rsidP="00D731A6">
            <w:pPr>
              <w:jc w:val="right"/>
              <w:rPr>
                <w:b/>
                <w:bCs/>
              </w:rPr>
            </w:pPr>
            <w:r w:rsidRPr="007A4FAC">
              <w:rPr>
                <w:b/>
              </w:rPr>
              <w:t>Total</w:t>
            </w:r>
            <w:r>
              <w:rPr>
                <w:b/>
              </w:rPr>
              <w:t xml:space="preserve"> estimated project cost </w:t>
            </w:r>
          </w:p>
        </w:tc>
        <w:tc>
          <w:tcPr>
            <w:tcW w:w="1269" w:type="dxa"/>
            <w:tcBorders>
              <w:top w:val="single" w:sz="12" w:space="0" w:color="auto"/>
              <w:bottom w:val="single" w:sz="12" w:space="0" w:color="auto"/>
            </w:tcBorders>
            <w:shd w:val="clear" w:color="auto" w:fill="D9D9D9" w:themeFill="background1" w:themeFillShade="D9"/>
          </w:tcPr>
          <w:p w:rsidR="00D731A6" w:rsidRPr="003106BD" w:rsidP="00D731A6">
            <w:pPr>
              <w:jc w:val="right"/>
              <w:rPr>
                <w:b/>
                <w:bCs/>
              </w:rPr>
            </w:pPr>
            <w:r>
              <w:rPr>
                <w:b/>
                <w:bCs/>
              </w:rPr>
              <w:fldChar w:fldCharType="begin"/>
            </w:r>
            <w:r>
              <w:rPr>
                <w:b/>
                <w:bCs/>
              </w:rPr>
              <w:instrText xml:space="preserve"> =SUM(ABOVE) </w:instrText>
            </w:r>
            <w:r>
              <w:rPr>
                <w:b/>
                <w:bCs/>
              </w:rPr>
              <w:fldChar w:fldCharType="separate"/>
            </w:r>
            <w:r>
              <w:rPr>
                <w:b/>
                <w:bCs/>
                <w:noProof/>
              </w:rPr>
              <w:t>3,230,000</w:t>
            </w:r>
            <w:r>
              <w:rPr>
                <w:b/>
                <w:bCs/>
              </w:rPr>
              <w:fldChar w:fldCharType="end"/>
            </w:r>
          </w:p>
        </w:tc>
      </w:tr>
    </w:tbl>
    <w:p w:rsidR="00D731A6"/>
    <w:p w:rsidR="00D731A6" w:rsidP="00D731A6">
      <w:pPr>
        <w:pStyle w:val="ListParagraph"/>
        <w:numPr>
          <w:ilvl w:val="0"/>
          <w:numId w:val="4"/>
        </w:numPr>
        <w:ind w:left="426" w:hanging="426"/>
      </w:pPr>
      <w:r>
        <w:t>For the stand-alone pavilion, we have an elemental cost breakdown as follows</w:t>
      </w:r>
      <w:r w:rsidR="00FC4B03">
        <w:t xml:space="preserve"> ..</w:t>
      </w:r>
      <w:r>
        <w:t>.</w:t>
      </w:r>
    </w:p>
    <w:p w:rsidR="00D731A6" w:rsidP="00D731A6"/>
    <w:tbl>
      <w:tblPr>
        <w:tblStyle w:val="TableGrid"/>
        <w:tblW w:w="8617" w:type="dxa"/>
        <w:tblInd w:w="704" w:type="dxa"/>
        <w:tblBorders>
          <w:top w:val="single" w:sz="12" w:space="0" w:color="auto"/>
          <w:left w:val="single" w:sz="12" w:space="0" w:color="auto"/>
          <w:bottom w:val="single" w:sz="12" w:space="0" w:color="auto"/>
          <w:right w:val="single" w:sz="12" w:space="0" w:color="auto"/>
        </w:tblBorders>
        <w:tblLook w:val="04A0"/>
      </w:tblPr>
      <w:tblGrid>
        <w:gridCol w:w="684"/>
        <w:gridCol w:w="6677"/>
        <w:gridCol w:w="1256"/>
      </w:tblGrid>
      <w:tr w:rsidTr="00D731A6">
        <w:tblPrEx>
          <w:tblW w:w="8617" w:type="dxa"/>
          <w:tblInd w:w="704" w:type="dxa"/>
          <w:tblBorders>
            <w:top w:val="single" w:sz="12" w:space="0" w:color="auto"/>
            <w:left w:val="single" w:sz="12" w:space="0" w:color="auto"/>
            <w:bottom w:val="single" w:sz="12" w:space="0" w:color="auto"/>
            <w:right w:val="single" w:sz="12" w:space="0" w:color="auto"/>
          </w:tblBorders>
          <w:tblLook w:val="04A0"/>
        </w:tblPrEx>
        <w:tc>
          <w:tcPr>
            <w:tcW w:w="684" w:type="dxa"/>
            <w:tcBorders>
              <w:top w:val="single" w:sz="12" w:space="0" w:color="auto"/>
              <w:bottom w:val="single" w:sz="12" w:space="0" w:color="auto"/>
            </w:tcBorders>
            <w:shd w:val="clear" w:color="auto" w:fill="D9D9D9" w:themeFill="background1" w:themeFillShade="D9"/>
          </w:tcPr>
          <w:p w:rsidR="00D731A6" w:rsidRPr="00FC4B03" w:rsidP="00D731A6">
            <w:pPr>
              <w:ind w:left="360" w:hanging="360"/>
              <w:rPr>
                <w:rFonts w:cstheme="majorHAnsi"/>
                <w:b/>
                <w:bCs/>
              </w:rPr>
            </w:pPr>
            <w:r w:rsidRPr="00FC4B03">
              <w:rPr>
                <w:rFonts w:cstheme="majorHAnsi"/>
                <w:b/>
                <w:bCs/>
              </w:rPr>
              <w:t>ITEM</w:t>
            </w:r>
          </w:p>
        </w:tc>
        <w:tc>
          <w:tcPr>
            <w:tcW w:w="6677" w:type="dxa"/>
            <w:tcBorders>
              <w:top w:val="single" w:sz="12" w:space="0" w:color="auto"/>
              <w:bottom w:val="single" w:sz="12" w:space="0" w:color="auto"/>
            </w:tcBorders>
            <w:shd w:val="clear" w:color="auto" w:fill="D9D9D9" w:themeFill="background1" w:themeFillShade="D9"/>
          </w:tcPr>
          <w:p w:rsidR="00D731A6" w:rsidRPr="00FC4B03" w:rsidP="00E35FF8">
            <w:pPr>
              <w:rPr>
                <w:rFonts w:cstheme="majorHAnsi"/>
                <w:b/>
                <w:bCs/>
              </w:rPr>
            </w:pPr>
            <w:r w:rsidRPr="00FC4B03">
              <w:rPr>
                <w:rFonts w:cstheme="majorHAnsi"/>
                <w:b/>
                <w:bCs/>
              </w:rPr>
              <w:t>DESCRIPTION</w:t>
            </w:r>
            <w:r w:rsidR="00FC4B03">
              <w:rPr>
                <w:rFonts w:cstheme="majorHAnsi"/>
                <w:b/>
                <w:bCs/>
              </w:rPr>
              <w:t xml:space="preserve">                                                              </w:t>
            </w:r>
            <w:r w:rsidRPr="00FC4B03" w:rsidR="00FC4B03">
              <w:rPr>
                <w:rFonts w:cstheme="majorHAnsi"/>
              </w:rPr>
              <w:t>GIFA 395m</w:t>
            </w:r>
            <w:r w:rsidRPr="00FC4B03" w:rsidR="00FC4B03">
              <w:rPr>
                <w:rFonts w:cstheme="majorHAnsi"/>
                <w:vertAlign w:val="superscript"/>
              </w:rPr>
              <w:t>2</w:t>
            </w:r>
          </w:p>
        </w:tc>
        <w:tc>
          <w:tcPr>
            <w:tcW w:w="1256" w:type="dxa"/>
            <w:tcBorders>
              <w:top w:val="single" w:sz="12" w:space="0" w:color="auto"/>
              <w:bottom w:val="single" w:sz="12" w:space="0" w:color="auto"/>
            </w:tcBorders>
            <w:shd w:val="clear" w:color="auto" w:fill="D9D9D9" w:themeFill="background1" w:themeFillShade="D9"/>
          </w:tcPr>
          <w:p w:rsidR="00D731A6" w:rsidRPr="00FC4B03" w:rsidP="00E35FF8">
            <w:pPr>
              <w:jc w:val="right"/>
              <w:rPr>
                <w:rFonts w:cstheme="majorHAnsi"/>
                <w:b/>
                <w:bCs/>
              </w:rPr>
            </w:pPr>
            <w:r w:rsidRPr="00FC4B03">
              <w:rPr>
                <w:rFonts w:cstheme="majorHAnsi"/>
                <w:b/>
                <w:bCs/>
              </w:rPr>
              <w:t>COST</w:t>
            </w:r>
          </w:p>
        </w:tc>
      </w:tr>
      <w:tr w:rsidTr="00F25AB2">
        <w:tblPrEx>
          <w:tblW w:w="8617" w:type="dxa"/>
          <w:tblInd w:w="704" w:type="dxa"/>
          <w:tblLook w:val="04A0"/>
        </w:tblPrEx>
        <w:tc>
          <w:tcPr>
            <w:tcW w:w="684" w:type="dxa"/>
            <w:tcBorders>
              <w:top w:val="single" w:sz="12" w:space="0" w:color="auto"/>
              <w:bottom w:val="single" w:sz="4" w:space="0" w:color="auto"/>
            </w:tcBorders>
          </w:tcPr>
          <w:p w:rsidR="00D731A6" w:rsidRPr="00FC4B03" w:rsidP="00D731A6">
            <w:pPr>
              <w:pStyle w:val="ListParagraph"/>
              <w:numPr>
                <w:ilvl w:val="0"/>
                <w:numId w:val="13"/>
              </w:numPr>
              <w:jc w:val="center"/>
              <w:rPr>
                <w:rFonts w:cstheme="majorHAnsi"/>
              </w:rPr>
            </w:pPr>
          </w:p>
        </w:tc>
        <w:tc>
          <w:tcPr>
            <w:tcW w:w="6677" w:type="dxa"/>
            <w:tcBorders>
              <w:top w:val="single" w:sz="12" w:space="0" w:color="auto"/>
              <w:left w:val="single" w:sz="4" w:space="0" w:color="auto"/>
              <w:bottom w:val="single" w:sz="4" w:space="0" w:color="auto"/>
              <w:right w:val="single" w:sz="4" w:space="0" w:color="auto"/>
            </w:tcBorders>
          </w:tcPr>
          <w:p w:rsidR="00D731A6" w:rsidRPr="00FC4B03" w:rsidP="00D731A6">
            <w:pPr>
              <w:rPr>
                <w:rFonts w:cstheme="majorHAnsi"/>
              </w:rPr>
            </w:pPr>
            <w:r w:rsidRPr="00FC4B03">
              <w:rPr>
                <w:rFonts w:cstheme="majorHAnsi"/>
                <w:color w:val="000000"/>
                <w:lang w:eastAsia="en-GB"/>
              </w:rPr>
              <w:t xml:space="preserve">Site Preparation </w:t>
            </w:r>
          </w:p>
        </w:tc>
        <w:tc>
          <w:tcPr>
            <w:tcW w:w="1256" w:type="dxa"/>
            <w:tcBorders>
              <w:top w:val="single" w:sz="12" w:space="0" w:color="auto"/>
              <w:left w:val="single" w:sz="4" w:space="0" w:color="auto"/>
              <w:bottom w:val="single" w:sz="4" w:space="0" w:color="auto"/>
              <w:right w:val="single" w:sz="12" w:space="0" w:color="auto"/>
            </w:tcBorders>
          </w:tcPr>
          <w:p w:rsidR="00D731A6" w:rsidRPr="00FC4B03" w:rsidP="00D731A6">
            <w:pPr>
              <w:jc w:val="right"/>
              <w:rPr>
                <w:rFonts w:cstheme="majorHAnsi"/>
              </w:rPr>
            </w:pPr>
            <w:r w:rsidRPr="00FC4B03">
              <w:rPr>
                <w:rFonts w:cstheme="majorHAnsi"/>
                <w:color w:val="000000"/>
                <w:lang w:eastAsia="en-GB"/>
              </w:rPr>
              <w:t>9,200</w:t>
            </w:r>
          </w:p>
        </w:tc>
      </w:tr>
      <w:tr w:rsidTr="00F25AB2">
        <w:tblPrEx>
          <w:tblW w:w="8617" w:type="dxa"/>
          <w:tblInd w:w="704" w:type="dxa"/>
          <w:tblLook w:val="04A0"/>
        </w:tblPrEx>
        <w:tc>
          <w:tcPr>
            <w:tcW w:w="684" w:type="dxa"/>
            <w:tcBorders>
              <w:top w:val="single" w:sz="4" w:space="0" w:color="auto"/>
              <w:bottom w:val="single" w:sz="4" w:space="0" w:color="auto"/>
            </w:tcBorders>
          </w:tcPr>
          <w:p w:rsidR="00D731A6" w:rsidRPr="00FC4B03" w:rsidP="00D731A6">
            <w:pPr>
              <w:pStyle w:val="ListParagraph"/>
              <w:numPr>
                <w:ilvl w:val="0"/>
                <w:numId w:val="13"/>
              </w:numPr>
              <w:jc w:val="center"/>
              <w:rPr>
                <w:rFonts w:cstheme="majorHAnsi"/>
              </w:rPr>
            </w:pPr>
          </w:p>
        </w:tc>
        <w:tc>
          <w:tcPr>
            <w:tcW w:w="6677" w:type="dxa"/>
            <w:tcBorders>
              <w:top w:val="single" w:sz="4" w:space="0" w:color="auto"/>
              <w:left w:val="single" w:sz="4" w:space="0" w:color="auto"/>
              <w:bottom w:val="single" w:sz="4" w:space="0" w:color="auto"/>
              <w:right w:val="single" w:sz="4" w:space="0" w:color="auto"/>
            </w:tcBorders>
          </w:tcPr>
          <w:p w:rsidR="00D731A6" w:rsidRPr="00FC4B03" w:rsidP="00D731A6">
            <w:pPr>
              <w:rPr>
                <w:rFonts w:cstheme="majorHAnsi"/>
              </w:rPr>
            </w:pPr>
            <w:r w:rsidRPr="00FC4B03">
              <w:rPr>
                <w:rFonts w:cstheme="majorHAnsi"/>
                <w:color w:val="000000"/>
                <w:lang w:eastAsia="en-GB"/>
              </w:rPr>
              <w:t>Sub Structure</w:t>
            </w:r>
          </w:p>
        </w:tc>
        <w:tc>
          <w:tcPr>
            <w:tcW w:w="1256" w:type="dxa"/>
            <w:tcBorders>
              <w:top w:val="single" w:sz="4" w:space="0" w:color="auto"/>
              <w:left w:val="single" w:sz="4" w:space="0" w:color="auto"/>
              <w:bottom w:val="single" w:sz="4" w:space="0" w:color="auto"/>
              <w:right w:val="single" w:sz="12" w:space="0" w:color="auto"/>
            </w:tcBorders>
          </w:tcPr>
          <w:p w:rsidR="00D731A6" w:rsidRPr="00FC4B03" w:rsidP="00D731A6">
            <w:pPr>
              <w:jc w:val="right"/>
              <w:rPr>
                <w:rFonts w:cstheme="majorHAnsi"/>
              </w:rPr>
            </w:pPr>
            <w:r w:rsidRPr="00FC4B03">
              <w:rPr>
                <w:rFonts w:cstheme="majorHAnsi"/>
                <w:color w:val="000000"/>
                <w:lang w:eastAsia="en-GB"/>
              </w:rPr>
              <w:t>46,300</w:t>
            </w:r>
          </w:p>
        </w:tc>
      </w:tr>
      <w:tr w:rsidTr="00F25AB2">
        <w:tblPrEx>
          <w:tblW w:w="8617" w:type="dxa"/>
          <w:tblInd w:w="704" w:type="dxa"/>
          <w:tblLook w:val="04A0"/>
        </w:tblPrEx>
        <w:tc>
          <w:tcPr>
            <w:tcW w:w="684" w:type="dxa"/>
            <w:tcBorders>
              <w:top w:val="single" w:sz="4" w:space="0" w:color="auto"/>
              <w:bottom w:val="single" w:sz="4" w:space="0" w:color="auto"/>
            </w:tcBorders>
          </w:tcPr>
          <w:p w:rsidR="00D731A6" w:rsidRPr="00FC4B03" w:rsidP="00D731A6">
            <w:pPr>
              <w:pStyle w:val="ListParagraph"/>
              <w:numPr>
                <w:ilvl w:val="0"/>
                <w:numId w:val="13"/>
              </w:numPr>
              <w:jc w:val="center"/>
              <w:rPr>
                <w:rFonts w:cstheme="majorHAnsi"/>
              </w:rPr>
            </w:pPr>
          </w:p>
        </w:tc>
        <w:tc>
          <w:tcPr>
            <w:tcW w:w="6677" w:type="dxa"/>
            <w:tcBorders>
              <w:top w:val="single" w:sz="4" w:space="0" w:color="auto"/>
              <w:left w:val="single" w:sz="4" w:space="0" w:color="auto"/>
              <w:bottom w:val="single" w:sz="4" w:space="0" w:color="auto"/>
              <w:right w:val="single" w:sz="4" w:space="0" w:color="auto"/>
            </w:tcBorders>
          </w:tcPr>
          <w:p w:rsidR="00D731A6" w:rsidRPr="00FC4B03" w:rsidP="00D731A6">
            <w:pPr>
              <w:rPr>
                <w:rFonts w:cstheme="majorHAnsi"/>
              </w:rPr>
            </w:pPr>
            <w:r w:rsidRPr="00FC4B03">
              <w:rPr>
                <w:rFonts w:cstheme="majorHAnsi"/>
                <w:color w:val="000000"/>
                <w:lang w:eastAsia="en-GB"/>
              </w:rPr>
              <w:t>External Walls</w:t>
            </w:r>
          </w:p>
        </w:tc>
        <w:tc>
          <w:tcPr>
            <w:tcW w:w="1256" w:type="dxa"/>
            <w:tcBorders>
              <w:top w:val="single" w:sz="4" w:space="0" w:color="auto"/>
              <w:left w:val="single" w:sz="4" w:space="0" w:color="auto"/>
              <w:bottom w:val="single" w:sz="4" w:space="0" w:color="auto"/>
              <w:right w:val="single" w:sz="12" w:space="0" w:color="auto"/>
            </w:tcBorders>
          </w:tcPr>
          <w:p w:rsidR="00D731A6" w:rsidRPr="00FC4B03" w:rsidP="00D731A6">
            <w:pPr>
              <w:jc w:val="right"/>
              <w:rPr>
                <w:rFonts w:cstheme="majorHAnsi"/>
              </w:rPr>
            </w:pPr>
            <w:r w:rsidRPr="00FC4B03">
              <w:rPr>
                <w:rFonts w:cstheme="majorHAnsi"/>
                <w:color w:val="000000"/>
                <w:lang w:eastAsia="en-GB"/>
              </w:rPr>
              <w:t>78,800</w:t>
            </w:r>
          </w:p>
        </w:tc>
      </w:tr>
      <w:tr w:rsidTr="00F25AB2">
        <w:tblPrEx>
          <w:tblW w:w="8617" w:type="dxa"/>
          <w:tblInd w:w="704" w:type="dxa"/>
          <w:tblLook w:val="04A0"/>
        </w:tblPrEx>
        <w:tc>
          <w:tcPr>
            <w:tcW w:w="684" w:type="dxa"/>
            <w:tcBorders>
              <w:top w:val="single" w:sz="4" w:space="0" w:color="auto"/>
              <w:bottom w:val="single" w:sz="4" w:space="0" w:color="auto"/>
            </w:tcBorders>
          </w:tcPr>
          <w:p w:rsidR="00D731A6" w:rsidRPr="00FC4B03" w:rsidP="00D731A6">
            <w:pPr>
              <w:pStyle w:val="ListParagraph"/>
              <w:numPr>
                <w:ilvl w:val="0"/>
                <w:numId w:val="13"/>
              </w:numPr>
              <w:jc w:val="center"/>
              <w:rPr>
                <w:rFonts w:cstheme="majorHAnsi"/>
              </w:rPr>
            </w:pPr>
          </w:p>
        </w:tc>
        <w:tc>
          <w:tcPr>
            <w:tcW w:w="6677" w:type="dxa"/>
            <w:tcBorders>
              <w:top w:val="single" w:sz="4" w:space="0" w:color="auto"/>
              <w:left w:val="single" w:sz="4" w:space="0" w:color="auto"/>
              <w:bottom w:val="single" w:sz="4" w:space="0" w:color="auto"/>
              <w:right w:val="single" w:sz="4" w:space="0" w:color="auto"/>
            </w:tcBorders>
          </w:tcPr>
          <w:p w:rsidR="00D731A6" w:rsidRPr="00FC4B03" w:rsidP="00D731A6">
            <w:pPr>
              <w:rPr>
                <w:rFonts w:cstheme="majorHAnsi"/>
              </w:rPr>
            </w:pPr>
            <w:r w:rsidRPr="00FC4B03">
              <w:rPr>
                <w:rFonts w:cstheme="majorHAnsi"/>
                <w:color w:val="000000"/>
                <w:lang w:eastAsia="en-GB"/>
              </w:rPr>
              <w:t>Roof</w:t>
            </w:r>
          </w:p>
        </w:tc>
        <w:tc>
          <w:tcPr>
            <w:tcW w:w="1256" w:type="dxa"/>
            <w:tcBorders>
              <w:top w:val="single" w:sz="4" w:space="0" w:color="auto"/>
              <w:left w:val="single" w:sz="4" w:space="0" w:color="auto"/>
              <w:bottom w:val="single" w:sz="4" w:space="0" w:color="auto"/>
              <w:right w:val="single" w:sz="12" w:space="0" w:color="auto"/>
            </w:tcBorders>
          </w:tcPr>
          <w:p w:rsidR="00D731A6" w:rsidRPr="00FC4B03" w:rsidP="00D731A6">
            <w:pPr>
              <w:jc w:val="right"/>
              <w:rPr>
                <w:rFonts w:cstheme="majorHAnsi"/>
              </w:rPr>
            </w:pPr>
            <w:r w:rsidRPr="00FC4B03">
              <w:rPr>
                <w:rFonts w:cstheme="majorHAnsi"/>
                <w:color w:val="000000"/>
                <w:lang w:eastAsia="en-GB"/>
              </w:rPr>
              <w:t>59,900</w:t>
            </w:r>
          </w:p>
        </w:tc>
      </w:tr>
      <w:tr w:rsidTr="00F25AB2">
        <w:tblPrEx>
          <w:tblW w:w="8617" w:type="dxa"/>
          <w:tblInd w:w="704" w:type="dxa"/>
          <w:tblLook w:val="04A0"/>
        </w:tblPrEx>
        <w:tc>
          <w:tcPr>
            <w:tcW w:w="684" w:type="dxa"/>
            <w:tcBorders>
              <w:top w:val="single" w:sz="4" w:space="0" w:color="auto"/>
              <w:bottom w:val="single" w:sz="4" w:space="0" w:color="auto"/>
            </w:tcBorders>
          </w:tcPr>
          <w:p w:rsidR="00D731A6" w:rsidRPr="00FC4B03" w:rsidP="00D731A6">
            <w:pPr>
              <w:pStyle w:val="ListParagraph"/>
              <w:numPr>
                <w:ilvl w:val="0"/>
                <w:numId w:val="13"/>
              </w:numPr>
              <w:jc w:val="center"/>
              <w:rPr>
                <w:rFonts w:cstheme="majorHAnsi"/>
              </w:rPr>
            </w:pPr>
          </w:p>
        </w:tc>
        <w:tc>
          <w:tcPr>
            <w:tcW w:w="6677" w:type="dxa"/>
            <w:tcBorders>
              <w:top w:val="single" w:sz="4" w:space="0" w:color="auto"/>
              <w:left w:val="single" w:sz="4" w:space="0" w:color="auto"/>
              <w:bottom w:val="single" w:sz="4" w:space="0" w:color="auto"/>
              <w:right w:val="single" w:sz="4" w:space="0" w:color="auto"/>
            </w:tcBorders>
          </w:tcPr>
          <w:p w:rsidR="00D731A6" w:rsidRPr="00FC4B03" w:rsidP="00D731A6">
            <w:pPr>
              <w:rPr>
                <w:rFonts w:cstheme="majorHAnsi"/>
              </w:rPr>
            </w:pPr>
            <w:r w:rsidRPr="00FC4B03">
              <w:rPr>
                <w:rFonts w:cstheme="majorHAnsi"/>
                <w:color w:val="000000"/>
                <w:lang w:eastAsia="en-GB"/>
              </w:rPr>
              <w:t>Windows and External Doors</w:t>
            </w:r>
          </w:p>
        </w:tc>
        <w:tc>
          <w:tcPr>
            <w:tcW w:w="1256" w:type="dxa"/>
            <w:tcBorders>
              <w:top w:val="single" w:sz="4" w:space="0" w:color="auto"/>
              <w:left w:val="single" w:sz="4" w:space="0" w:color="auto"/>
              <w:bottom w:val="single" w:sz="4" w:space="0" w:color="auto"/>
              <w:right w:val="single" w:sz="12" w:space="0" w:color="auto"/>
            </w:tcBorders>
          </w:tcPr>
          <w:p w:rsidR="00D731A6" w:rsidRPr="00FC4B03" w:rsidP="00D731A6">
            <w:pPr>
              <w:jc w:val="right"/>
              <w:rPr>
                <w:rFonts w:cstheme="majorHAnsi"/>
              </w:rPr>
            </w:pPr>
            <w:r w:rsidRPr="00FC4B03">
              <w:rPr>
                <w:rFonts w:cstheme="majorHAnsi"/>
                <w:color w:val="000000"/>
                <w:lang w:eastAsia="en-GB"/>
              </w:rPr>
              <w:t>37,300</w:t>
            </w:r>
          </w:p>
        </w:tc>
      </w:tr>
      <w:tr w:rsidTr="00F25AB2">
        <w:tblPrEx>
          <w:tblW w:w="8617" w:type="dxa"/>
          <w:tblInd w:w="704" w:type="dxa"/>
          <w:tblLook w:val="04A0"/>
        </w:tblPrEx>
        <w:tc>
          <w:tcPr>
            <w:tcW w:w="684" w:type="dxa"/>
            <w:tcBorders>
              <w:top w:val="single" w:sz="4" w:space="0" w:color="auto"/>
              <w:bottom w:val="single" w:sz="4" w:space="0" w:color="auto"/>
            </w:tcBorders>
          </w:tcPr>
          <w:p w:rsidR="00D731A6" w:rsidRPr="00FC4B03" w:rsidP="00D731A6">
            <w:pPr>
              <w:pStyle w:val="ListParagraph"/>
              <w:numPr>
                <w:ilvl w:val="0"/>
                <w:numId w:val="13"/>
              </w:numPr>
              <w:jc w:val="center"/>
              <w:rPr>
                <w:rFonts w:cstheme="majorHAnsi"/>
              </w:rPr>
            </w:pPr>
          </w:p>
        </w:tc>
        <w:tc>
          <w:tcPr>
            <w:tcW w:w="6677" w:type="dxa"/>
            <w:tcBorders>
              <w:top w:val="single" w:sz="4" w:space="0" w:color="auto"/>
              <w:left w:val="single" w:sz="4" w:space="0" w:color="auto"/>
              <w:bottom w:val="single" w:sz="4" w:space="0" w:color="auto"/>
              <w:right w:val="single" w:sz="4" w:space="0" w:color="auto"/>
            </w:tcBorders>
          </w:tcPr>
          <w:p w:rsidR="00D731A6" w:rsidRPr="00FC4B03" w:rsidP="00D731A6">
            <w:pPr>
              <w:rPr>
                <w:rFonts w:cstheme="majorHAnsi"/>
              </w:rPr>
            </w:pPr>
            <w:r w:rsidRPr="00FC4B03">
              <w:rPr>
                <w:rFonts w:cstheme="majorHAnsi"/>
                <w:color w:val="000000"/>
                <w:lang w:eastAsia="en-GB"/>
              </w:rPr>
              <w:t>Internal Walls</w:t>
            </w:r>
          </w:p>
        </w:tc>
        <w:tc>
          <w:tcPr>
            <w:tcW w:w="1256" w:type="dxa"/>
            <w:tcBorders>
              <w:top w:val="single" w:sz="4" w:space="0" w:color="auto"/>
              <w:left w:val="single" w:sz="4" w:space="0" w:color="auto"/>
              <w:bottom w:val="single" w:sz="4" w:space="0" w:color="auto"/>
              <w:right w:val="single" w:sz="12" w:space="0" w:color="auto"/>
            </w:tcBorders>
          </w:tcPr>
          <w:p w:rsidR="00D731A6" w:rsidRPr="00FC4B03" w:rsidP="00D731A6">
            <w:pPr>
              <w:jc w:val="right"/>
              <w:rPr>
                <w:rFonts w:cstheme="majorHAnsi"/>
              </w:rPr>
            </w:pPr>
            <w:r w:rsidRPr="00FC4B03">
              <w:rPr>
                <w:rFonts w:cstheme="majorHAnsi"/>
                <w:color w:val="000000"/>
                <w:lang w:eastAsia="en-GB"/>
              </w:rPr>
              <w:t>29,600</w:t>
            </w:r>
          </w:p>
        </w:tc>
      </w:tr>
      <w:tr w:rsidTr="00F25AB2">
        <w:tblPrEx>
          <w:tblW w:w="8617" w:type="dxa"/>
          <w:tblInd w:w="704" w:type="dxa"/>
          <w:tblLook w:val="04A0"/>
        </w:tblPrEx>
        <w:tc>
          <w:tcPr>
            <w:tcW w:w="684" w:type="dxa"/>
            <w:tcBorders>
              <w:top w:val="single" w:sz="4" w:space="0" w:color="auto"/>
              <w:bottom w:val="single" w:sz="4" w:space="0" w:color="auto"/>
            </w:tcBorders>
          </w:tcPr>
          <w:p w:rsidR="00D731A6" w:rsidRPr="00FC4B03" w:rsidP="00D731A6">
            <w:pPr>
              <w:pStyle w:val="ListParagraph"/>
              <w:numPr>
                <w:ilvl w:val="0"/>
                <w:numId w:val="13"/>
              </w:numPr>
              <w:jc w:val="center"/>
              <w:rPr>
                <w:rFonts w:cstheme="majorHAnsi"/>
              </w:rPr>
            </w:pPr>
          </w:p>
        </w:tc>
        <w:tc>
          <w:tcPr>
            <w:tcW w:w="6677" w:type="dxa"/>
            <w:tcBorders>
              <w:top w:val="single" w:sz="4" w:space="0" w:color="auto"/>
              <w:left w:val="single" w:sz="4" w:space="0" w:color="auto"/>
              <w:bottom w:val="single" w:sz="4" w:space="0" w:color="auto"/>
              <w:right w:val="single" w:sz="4" w:space="0" w:color="auto"/>
            </w:tcBorders>
          </w:tcPr>
          <w:p w:rsidR="00D731A6" w:rsidRPr="00FC4B03" w:rsidP="00D731A6">
            <w:pPr>
              <w:rPr>
                <w:rFonts w:cstheme="majorHAnsi"/>
              </w:rPr>
            </w:pPr>
            <w:r w:rsidRPr="00FC4B03">
              <w:rPr>
                <w:rFonts w:cstheme="majorHAnsi"/>
                <w:color w:val="000000"/>
                <w:lang w:eastAsia="en-GB"/>
              </w:rPr>
              <w:t>Internal Doors</w:t>
            </w:r>
          </w:p>
        </w:tc>
        <w:tc>
          <w:tcPr>
            <w:tcW w:w="1256" w:type="dxa"/>
            <w:tcBorders>
              <w:top w:val="single" w:sz="4" w:space="0" w:color="auto"/>
              <w:left w:val="single" w:sz="4" w:space="0" w:color="auto"/>
              <w:bottom w:val="single" w:sz="4" w:space="0" w:color="auto"/>
              <w:right w:val="single" w:sz="12" w:space="0" w:color="auto"/>
            </w:tcBorders>
          </w:tcPr>
          <w:p w:rsidR="00D731A6" w:rsidRPr="00FC4B03" w:rsidP="00D731A6">
            <w:pPr>
              <w:jc w:val="right"/>
              <w:rPr>
                <w:rFonts w:cstheme="majorHAnsi"/>
              </w:rPr>
            </w:pPr>
            <w:r w:rsidRPr="00FC4B03">
              <w:rPr>
                <w:rFonts w:cstheme="majorHAnsi"/>
                <w:color w:val="000000"/>
                <w:lang w:eastAsia="en-GB"/>
              </w:rPr>
              <w:t>18,900</w:t>
            </w:r>
          </w:p>
        </w:tc>
      </w:tr>
      <w:tr w:rsidTr="00F25AB2">
        <w:tblPrEx>
          <w:tblW w:w="8617" w:type="dxa"/>
          <w:tblInd w:w="704" w:type="dxa"/>
          <w:tblLook w:val="04A0"/>
        </w:tblPrEx>
        <w:tc>
          <w:tcPr>
            <w:tcW w:w="684" w:type="dxa"/>
            <w:tcBorders>
              <w:top w:val="single" w:sz="4" w:space="0" w:color="auto"/>
              <w:bottom w:val="single" w:sz="4" w:space="0" w:color="auto"/>
            </w:tcBorders>
          </w:tcPr>
          <w:p w:rsidR="00D731A6" w:rsidRPr="00FC4B03" w:rsidP="00D731A6">
            <w:pPr>
              <w:pStyle w:val="ListParagraph"/>
              <w:numPr>
                <w:ilvl w:val="0"/>
                <w:numId w:val="13"/>
              </w:numPr>
              <w:jc w:val="center"/>
              <w:rPr>
                <w:rFonts w:cstheme="majorHAnsi"/>
              </w:rPr>
            </w:pPr>
          </w:p>
        </w:tc>
        <w:tc>
          <w:tcPr>
            <w:tcW w:w="6677" w:type="dxa"/>
            <w:tcBorders>
              <w:top w:val="single" w:sz="4" w:space="0" w:color="auto"/>
              <w:left w:val="single" w:sz="4" w:space="0" w:color="auto"/>
              <w:bottom w:val="single" w:sz="4" w:space="0" w:color="auto"/>
              <w:right w:val="single" w:sz="4" w:space="0" w:color="auto"/>
            </w:tcBorders>
          </w:tcPr>
          <w:p w:rsidR="00D731A6" w:rsidRPr="00FC4B03" w:rsidP="00D731A6">
            <w:pPr>
              <w:rPr>
                <w:rFonts w:cstheme="majorHAnsi"/>
              </w:rPr>
            </w:pPr>
            <w:r w:rsidRPr="00FC4B03">
              <w:rPr>
                <w:rFonts w:cstheme="majorHAnsi"/>
                <w:color w:val="000000"/>
                <w:lang w:eastAsia="en-GB"/>
              </w:rPr>
              <w:t>Wall Finishes</w:t>
            </w:r>
          </w:p>
        </w:tc>
        <w:tc>
          <w:tcPr>
            <w:tcW w:w="1256" w:type="dxa"/>
            <w:tcBorders>
              <w:top w:val="single" w:sz="4" w:space="0" w:color="auto"/>
              <w:left w:val="single" w:sz="4" w:space="0" w:color="auto"/>
              <w:bottom w:val="single" w:sz="4" w:space="0" w:color="auto"/>
              <w:right w:val="single" w:sz="12" w:space="0" w:color="auto"/>
            </w:tcBorders>
          </w:tcPr>
          <w:p w:rsidR="00D731A6" w:rsidRPr="00FC4B03" w:rsidP="00D731A6">
            <w:pPr>
              <w:jc w:val="right"/>
              <w:rPr>
                <w:rFonts w:cstheme="majorHAnsi"/>
              </w:rPr>
            </w:pPr>
            <w:r w:rsidRPr="00FC4B03">
              <w:rPr>
                <w:rFonts w:cstheme="majorHAnsi"/>
                <w:color w:val="000000"/>
                <w:lang w:eastAsia="en-GB"/>
              </w:rPr>
              <w:t>7,300</w:t>
            </w:r>
          </w:p>
        </w:tc>
      </w:tr>
      <w:tr w:rsidTr="00F25AB2">
        <w:tblPrEx>
          <w:tblW w:w="8617" w:type="dxa"/>
          <w:tblInd w:w="704" w:type="dxa"/>
          <w:tblLook w:val="04A0"/>
        </w:tblPrEx>
        <w:tc>
          <w:tcPr>
            <w:tcW w:w="684" w:type="dxa"/>
            <w:tcBorders>
              <w:top w:val="single" w:sz="4" w:space="0" w:color="auto"/>
              <w:bottom w:val="single" w:sz="4" w:space="0" w:color="auto"/>
            </w:tcBorders>
          </w:tcPr>
          <w:p w:rsidR="00D731A6" w:rsidRPr="00FC4B03" w:rsidP="00D731A6">
            <w:pPr>
              <w:pStyle w:val="ListParagraph"/>
              <w:numPr>
                <w:ilvl w:val="0"/>
                <w:numId w:val="13"/>
              </w:numPr>
              <w:jc w:val="center"/>
              <w:rPr>
                <w:rFonts w:cstheme="majorHAnsi"/>
              </w:rPr>
            </w:pPr>
          </w:p>
        </w:tc>
        <w:tc>
          <w:tcPr>
            <w:tcW w:w="6677" w:type="dxa"/>
            <w:tcBorders>
              <w:top w:val="single" w:sz="4" w:space="0" w:color="auto"/>
              <w:left w:val="single" w:sz="4" w:space="0" w:color="auto"/>
              <w:bottom w:val="single" w:sz="4" w:space="0" w:color="auto"/>
              <w:right w:val="single" w:sz="4" w:space="0" w:color="auto"/>
            </w:tcBorders>
          </w:tcPr>
          <w:p w:rsidR="00D731A6" w:rsidRPr="00FC4B03" w:rsidP="00D731A6">
            <w:pPr>
              <w:rPr>
                <w:rFonts w:cstheme="majorHAnsi"/>
              </w:rPr>
            </w:pPr>
            <w:r w:rsidRPr="00FC4B03">
              <w:rPr>
                <w:rFonts w:cstheme="majorHAnsi"/>
                <w:color w:val="000000"/>
                <w:lang w:eastAsia="en-GB"/>
              </w:rPr>
              <w:t>Floor Finishes</w:t>
            </w:r>
          </w:p>
        </w:tc>
        <w:tc>
          <w:tcPr>
            <w:tcW w:w="1256" w:type="dxa"/>
            <w:tcBorders>
              <w:top w:val="single" w:sz="4" w:space="0" w:color="auto"/>
              <w:left w:val="single" w:sz="4" w:space="0" w:color="auto"/>
              <w:bottom w:val="single" w:sz="4" w:space="0" w:color="auto"/>
              <w:right w:val="single" w:sz="12" w:space="0" w:color="auto"/>
            </w:tcBorders>
          </w:tcPr>
          <w:p w:rsidR="00D731A6" w:rsidRPr="00FC4B03" w:rsidP="00D731A6">
            <w:pPr>
              <w:jc w:val="right"/>
              <w:rPr>
                <w:rFonts w:cstheme="majorHAnsi"/>
              </w:rPr>
            </w:pPr>
            <w:r w:rsidRPr="00FC4B03">
              <w:rPr>
                <w:rFonts w:cstheme="majorHAnsi"/>
                <w:color w:val="000000"/>
                <w:lang w:eastAsia="en-GB"/>
              </w:rPr>
              <w:t>29,800</w:t>
            </w:r>
          </w:p>
        </w:tc>
      </w:tr>
      <w:tr w:rsidTr="00F25AB2">
        <w:tblPrEx>
          <w:tblW w:w="8617" w:type="dxa"/>
          <w:tblInd w:w="704" w:type="dxa"/>
          <w:tblLook w:val="04A0"/>
        </w:tblPrEx>
        <w:tc>
          <w:tcPr>
            <w:tcW w:w="684" w:type="dxa"/>
            <w:tcBorders>
              <w:top w:val="single" w:sz="4" w:space="0" w:color="auto"/>
              <w:bottom w:val="single" w:sz="4" w:space="0" w:color="auto"/>
            </w:tcBorders>
          </w:tcPr>
          <w:p w:rsidR="00D731A6" w:rsidRPr="00FC4B03" w:rsidP="00D731A6">
            <w:pPr>
              <w:pStyle w:val="ListParagraph"/>
              <w:numPr>
                <w:ilvl w:val="0"/>
                <w:numId w:val="13"/>
              </w:numPr>
              <w:jc w:val="center"/>
              <w:rPr>
                <w:rFonts w:cstheme="majorHAnsi"/>
              </w:rPr>
            </w:pPr>
          </w:p>
        </w:tc>
        <w:tc>
          <w:tcPr>
            <w:tcW w:w="6677" w:type="dxa"/>
            <w:tcBorders>
              <w:top w:val="single" w:sz="4" w:space="0" w:color="auto"/>
              <w:left w:val="single" w:sz="4" w:space="0" w:color="auto"/>
              <w:bottom w:val="single" w:sz="4" w:space="0" w:color="auto"/>
              <w:right w:val="single" w:sz="4" w:space="0" w:color="auto"/>
            </w:tcBorders>
          </w:tcPr>
          <w:p w:rsidR="00D731A6" w:rsidRPr="00FC4B03" w:rsidP="00D731A6">
            <w:pPr>
              <w:rPr>
                <w:rFonts w:cstheme="majorHAnsi"/>
              </w:rPr>
            </w:pPr>
            <w:r w:rsidRPr="00FC4B03">
              <w:rPr>
                <w:rFonts w:cstheme="majorHAnsi"/>
                <w:color w:val="000000"/>
                <w:lang w:eastAsia="en-GB"/>
              </w:rPr>
              <w:t>Ceiling Finishes</w:t>
            </w:r>
          </w:p>
        </w:tc>
        <w:tc>
          <w:tcPr>
            <w:tcW w:w="1256" w:type="dxa"/>
            <w:tcBorders>
              <w:top w:val="single" w:sz="4" w:space="0" w:color="auto"/>
              <w:left w:val="single" w:sz="4" w:space="0" w:color="auto"/>
              <w:bottom w:val="single" w:sz="4" w:space="0" w:color="auto"/>
              <w:right w:val="single" w:sz="12" w:space="0" w:color="auto"/>
            </w:tcBorders>
          </w:tcPr>
          <w:p w:rsidR="00D731A6" w:rsidRPr="00FC4B03" w:rsidP="00D731A6">
            <w:pPr>
              <w:jc w:val="right"/>
              <w:rPr>
                <w:rFonts w:cstheme="majorHAnsi"/>
              </w:rPr>
            </w:pPr>
            <w:r w:rsidRPr="00FC4B03">
              <w:rPr>
                <w:rFonts w:cstheme="majorHAnsi"/>
                <w:color w:val="000000"/>
                <w:lang w:eastAsia="en-GB"/>
              </w:rPr>
              <w:t>14,900</w:t>
            </w:r>
          </w:p>
        </w:tc>
      </w:tr>
      <w:tr w:rsidTr="00F25AB2">
        <w:tblPrEx>
          <w:tblW w:w="8617" w:type="dxa"/>
          <w:tblInd w:w="704" w:type="dxa"/>
          <w:tblLook w:val="04A0"/>
        </w:tblPrEx>
        <w:tc>
          <w:tcPr>
            <w:tcW w:w="684" w:type="dxa"/>
            <w:tcBorders>
              <w:top w:val="single" w:sz="4" w:space="0" w:color="auto"/>
              <w:bottom w:val="single" w:sz="4" w:space="0" w:color="auto"/>
            </w:tcBorders>
          </w:tcPr>
          <w:p w:rsidR="00D731A6" w:rsidRPr="00FC4B03" w:rsidP="00D731A6">
            <w:pPr>
              <w:pStyle w:val="ListParagraph"/>
              <w:numPr>
                <w:ilvl w:val="0"/>
                <w:numId w:val="13"/>
              </w:numPr>
              <w:jc w:val="center"/>
              <w:rPr>
                <w:rFonts w:cstheme="majorHAnsi"/>
              </w:rPr>
            </w:pPr>
          </w:p>
        </w:tc>
        <w:tc>
          <w:tcPr>
            <w:tcW w:w="6677" w:type="dxa"/>
            <w:tcBorders>
              <w:top w:val="single" w:sz="4" w:space="0" w:color="auto"/>
              <w:left w:val="single" w:sz="4" w:space="0" w:color="auto"/>
              <w:bottom w:val="single" w:sz="4" w:space="0" w:color="auto"/>
              <w:right w:val="single" w:sz="4" w:space="0" w:color="auto"/>
            </w:tcBorders>
          </w:tcPr>
          <w:p w:rsidR="00D731A6" w:rsidRPr="00FC4B03" w:rsidP="00D731A6">
            <w:pPr>
              <w:rPr>
                <w:rFonts w:cstheme="majorHAnsi"/>
              </w:rPr>
            </w:pPr>
            <w:r w:rsidRPr="00FC4B03">
              <w:rPr>
                <w:rFonts w:cstheme="majorHAnsi"/>
                <w:color w:val="000000"/>
                <w:lang w:eastAsia="en-GB"/>
              </w:rPr>
              <w:t>Decoration</w:t>
            </w:r>
          </w:p>
        </w:tc>
        <w:tc>
          <w:tcPr>
            <w:tcW w:w="1256" w:type="dxa"/>
            <w:tcBorders>
              <w:top w:val="single" w:sz="4" w:space="0" w:color="auto"/>
              <w:left w:val="single" w:sz="4" w:space="0" w:color="auto"/>
              <w:bottom w:val="single" w:sz="4" w:space="0" w:color="auto"/>
              <w:right w:val="single" w:sz="12" w:space="0" w:color="auto"/>
            </w:tcBorders>
          </w:tcPr>
          <w:p w:rsidR="00D731A6" w:rsidRPr="00FC4B03" w:rsidP="00D731A6">
            <w:pPr>
              <w:jc w:val="right"/>
              <w:rPr>
                <w:rFonts w:cstheme="majorHAnsi"/>
              </w:rPr>
            </w:pPr>
            <w:r w:rsidRPr="00FC4B03">
              <w:rPr>
                <w:rFonts w:cstheme="majorHAnsi"/>
                <w:color w:val="000000"/>
                <w:lang w:eastAsia="en-GB"/>
              </w:rPr>
              <w:t>7,600</w:t>
            </w:r>
          </w:p>
        </w:tc>
      </w:tr>
      <w:tr w:rsidTr="00F25AB2">
        <w:tblPrEx>
          <w:tblW w:w="8617" w:type="dxa"/>
          <w:tblInd w:w="704" w:type="dxa"/>
          <w:tblLook w:val="04A0"/>
        </w:tblPrEx>
        <w:tc>
          <w:tcPr>
            <w:tcW w:w="684" w:type="dxa"/>
            <w:tcBorders>
              <w:top w:val="single" w:sz="4" w:space="0" w:color="auto"/>
              <w:bottom w:val="single" w:sz="4" w:space="0" w:color="auto"/>
            </w:tcBorders>
          </w:tcPr>
          <w:p w:rsidR="00D731A6" w:rsidRPr="00FC4B03" w:rsidP="00D731A6">
            <w:pPr>
              <w:pStyle w:val="ListParagraph"/>
              <w:numPr>
                <w:ilvl w:val="0"/>
                <w:numId w:val="13"/>
              </w:numPr>
              <w:jc w:val="center"/>
              <w:rPr>
                <w:rFonts w:cstheme="majorHAnsi"/>
              </w:rPr>
            </w:pPr>
          </w:p>
        </w:tc>
        <w:tc>
          <w:tcPr>
            <w:tcW w:w="6677" w:type="dxa"/>
            <w:tcBorders>
              <w:top w:val="single" w:sz="4" w:space="0" w:color="auto"/>
              <w:left w:val="single" w:sz="4" w:space="0" w:color="auto"/>
              <w:bottom w:val="single" w:sz="4" w:space="0" w:color="auto"/>
              <w:right w:val="single" w:sz="4" w:space="0" w:color="auto"/>
            </w:tcBorders>
          </w:tcPr>
          <w:p w:rsidR="00D731A6" w:rsidRPr="00FC4B03" w:rsidP="00D731A6">
            <w:pPr>
              <w:rPr>
                <w:rFonts w:cstheme="majorHAnsi"/>
              </w:rPr>
            </w:pPr>
            <w:r w:rsidRPr="00FC4B03">
              <w:rPr>
                <w:rFonts w:cstheme="majorHAnsi"/>
                <w:color w:val="000000"/>
                <w:lang w:eastAsia="en-GB"/>
              </w:rPr>
              <w:t>Fixtures, Fittings and Equipment</w:t>
            </w:r>
          </w:p>
        </w:tc>
        <w:tc>
          <w:tcPr>
            <w:tcW w:w="1256" w:type="dxa"/>
            <w:tcBorders>
              <w:top w:val="single" w:sz="4" w:space="0" w:color="auto"/>
              <w:left w:val="single" w:sz="4" w:space="0" w:color="auto"/>
              <w:bottom w:val="single" w:sz="4" w:space="0" w:color="auto"/>
              <w:right w:val="single" w:sz="12" w:space="0" w:color="auto"/>
            </w:tcBorders>
          </w:tcPr>
          <w:p w:rsidR="00D731A6" w:rsidRPr="00FC4B03" w:rsidP="00D731A6">
            <w:pPr>
              <w:jc w:val="right"/>
              <w:rPr>
                <w:rFonts w:cstheme="majorHAnsi"/>
              </w:rPr>
            </w:pPr>
            <w:r w:rsidRPr="00FC4B03">
              <w:rPr>
                <w:rFonts w:cstheme="majorHAnsi"/>
                <w:color w:val="000000"/>
                <w:lang w:eastAsia="en-GB"/>
              </w:rPr>
              <w:t>39,700</w:t>
            </w:r>
          </w:p>
        </w:tc>
      </w:tr>
      <w:tr w:rsidTr="00F25AB2">
        <w:tblPrEx>
          <w:tblW w:w="8617" w:type="dxa"/>
          <w:tblInd w:w="704" w:type="dxa"/>
          <w:tblLook w:val="04A0"/>
        </w:tblPrEx>
        <w:tc>
          <w:tcPr>
            <w:tcW w:w="684" w:type="dxa"/>
            <w:tcBorders>
              <w:top w:val="single" w:sz="4" w:space="0" w:color="auto"/>
              <w:bottom w:val="single" w:sz="4" w:space="0" w:color="auto"/>
            </w:tcBorders>
          </w:tcPr>
          <w:p w:rsidR="00D731A6" w:rsidRPr="00FC4B03" w:rsidP="00D731A6">
            <w:pPr>
              <w:pStyle w:val="ListParagraph"/>
              <w:numPr>
                <w:ilvl w:val="0"/>
                <w:numId w:val="13"/>
              </w:numPr>
              <w:jc w:val="center"/>
              <w:rPr>
                <w:rFonts w:cstheme="majorHAnsi"/>
              </w:rPr>
            </w:pPr>
          </w:p>
        </w:tc>
        <w:tc>
          <w:tcPr>
            <w:tcW w:w="6677" w:type="dxa"/>
            <w:tcBorders>
              <w:top w:val="single" w:sz="4" w:space="0" w:color="auto"/>
              <w:left w:val="single" w:sz="4" w:space="0" w:color="auto"/>
              <w:bottom w:val="single" w:sz="4" w:space="0" w:color="auto"/>
              <w:right w:val="single" w:sz="4" w:space="0" w:color="auto"/>
            </w:tcBorders>
          </w:tcPr>
          <w:p w:rsidR="00D731A6" w:rsidRPr="00FC4B03" w:rsidP="00D731A6">
            <w:pPr>
              <w:rPr>
                <w:rFonts w:cstheme="majorHAnsi"/>
              </w:rPr>
            </w:pPr>
            <w:r w:rsidRPr="00FC4B03">
              <w:rPr>
                <w:rFonts w:cstheme="majorHAnsi"/>
                <w:color w:val="000000"/>
                <w:lang w:eastAsia="en-GB"/>
              </w:rPr>
              <w:t>Sanitary Installations</w:t>
            </w:r>
          </w:p>
        </w:tc>
        <w:tc>
          <w:tcPr>
            <w:tcW w:w="1256" w:type="dxa"/>
            <w:tcBorders>
              <w:top w:val="single" w:sz="4" w:space="0" w:color="auto"/>
              <w:left w:val="single" w:sz="4" w:space="0" w:color="auto"/>
              <w:bottom w:val="single" w:sz="4" w:space="0" w:color="auto"/>
              <w:right w:val="single" w:sz="12" w:space="0" w:color="auto"/>
            </w:tcBorders>
          </w:tcPr>
          <w:p w:rsidR="00D731A6" w:rsidRPr="00FC4B03" w:rsidP="00D731A6">
            <w:pPr>
              <w:jc w:val="right"/>
              <w:rPr>
                <w:rFonts w:cstheme="majorHAnsi"/>
              </w:rPr>
            </w:pPr>
            <w:r w:rsidRPr="00FC4B03">
              <w:rPr>
                <w:rFonts w:cstheme="majorHAnsi"/>
                <w:bCs/>
                <w:color w:val="000000"/>
                <w:lang w:eastAsia="en-GB"/>
              </w:rPr>
              <w:t>16,100</w:t>
            </w:r>
          </w:p>
        </w:tc>
      </w:tr>
      <w:tr w:rsidTr="00F25AB2">
        <w:tblPrEx>
          <w:tblW w:w="8617" w:type="dxa"/>
          <w:tblInd w:w="704" w:type="dxa"/>
          <w:tblLook w:val="04A0"/>
        </w:tblPrEx>
        <w:tc>
          <w:tcPr>
            <w:tcW w:w="684" w:type="dxa"/>
            <w:tcBorders>
              <w:top w:val="single" w:sz="4" w:space="0" w:color="auto"/>
              <w:bottom w:val="single" w:sz="4" w:space="0" w:color="auto"/>
            </w:tcBorders>
          </w:tcPr>
          <w:p w:rsidR="00D731A6" w:rsidRPr="00FC4B03" w:rsidP="00D731A6">
            <w:pPr>
              <w:pStyle w:val="ListParagraph"/>
              <w:numPr>
                <w:ilvl w:val="0"/>
                <w:numId w:val="13"/>
              </w:numPr>
              <w:jc w:val="center"/>
              <w:rPr>
                <w:rFonts w:cstheme="majorHAnsi"/>
              </w:rPr>
            </w:pPr>
          </w:p>
        </w:tc>
        <w:tc>
          <w:tcPr>
            <w:tcW w:w="6677" w:type="dxa"/>
            <w:tcBorders>
              <w:top w:val="single" w:sz="4" w:space="0" w:color="auto"/>
              <w:left w:val="single" w:sz="4" w:space="0" w:color="auto"/>
              <w:bottom w:val="single" w:sz="4" w:space="0" w:color="auto"/>
              <w:right w:val="single" w:sz="4" w:space="0" w:color="auto"/>
            </w:tcBorders>
          </w:tcPr>
          <w:p w:rsidR="00D731A6" w:rsidRPr="00FC4B03" w:rsidP="00D731A6">
            <w:pPr>
              <w:rPr>
                <w:rFonts w:cstheme="majorHAnsi"/>
              </w:rPr>
            </w:pPr>
            <w:r w:rsidRPr="00FC4B03">
              <w:rPr>
                <w:rFonts w:cstheme="majorHAnsi"/>
                <w:color w:val="000000"/>
                <w:lang w:eastAsia="en-GB"/>
              </w:rPr>
              <w:t>Mechanical Works</w:t>
            </w:r>
          </w:p>
        </w:tc>
        <w:tc>
          <w:tcPr>
            <w:tcW w:w="1256" w:type="dxa"/>
            <w:tcBorders>
              <w:top w:val="single" w:sz="4" w:space="0" w:color="auto"/>
              <w:left w:val="single" w:sz="4" w:space="0" w:color="auto"/>
              <w:bottom w:val="single" w:sz="4" w:space="0" w:color="auto"/>
              <w:right w:val="single" w:sz="12" w:space="0" w:color="auto"/>
            </w:tcBorders>
          </w:tcPr>
          <w:p w:rsidR="00D731A6" w:rsidRPr="00FC4B03" w:rsidP="00D731A6">
            <w:pPr>
              <w:jc w:val="right"/>
              <w:rPr>
                <w:rFonts w:cstheme="majorHAnsi"/>
              </w:rPr>
            </w:pPr>
            <w:r w:rsidRPr="00FC4B03">
              <w:rPr>
                <w:rFonts w:cstheme="majorHAnsi"/>
                <w:bCs/>
                <w:color w:val="000000"/>
                <w:lang w:eastAsia="en-GB"/>
              </w:rPr>
              <w:t>82,600</w:t>
            </w:r>
          </w:p>
        </w:tc>
      </w:tr>
      <w:tr w:rsidTr="00F25AB2">
        <w:tblPrEx>
          <w:tblW w:w="8617" w:type="dxa"/>
          <w:tblInd w:w="704" w:type="dxa"/>
          <w:tblLook w:val="04A0"/>
        </w:tblPrEx>
        <w:tc>
          <w:tcPr>
            <w:tcW w:w="684" w:type="dxa"/>
            <w:tcBorders>
              <w:top w:val="single" w:sz="4" w:space="0" w:color="auto"/>
              <w:bottom w:val="single" w:sz="4" w:space="0" w:color="auto"/>
            </w:tcBorders>
          </w:tcPr>
          <w:p w:rsidR="00D731A6" w:rsidRPr="00FC4B03" w:rsidP="00D731A6">
            <w:pPr>
              <w:pStyle w:val="ListParagraph"/>
              <w:numPr>
                <w:ilvl w:val="0"/>
                <w:numId w:val="13"/>
              </w:numPr>
              <w:jc w:val="center"/>
              <w:rPr>
                <w:rFonts w:cstheme="majorHAnsi"/>
              </w:rPr>
            </w:pPr>
          </w:p>
        </w:tc>
        <w:tc>
          <w:tcPr>
            <w:tcW w:w="6677" w:type="dxa"/>
            <w:tcBorders>
              <w:top w:val="single" w:sz="4" w:space="0" w:color="auto"/>
              <w:left w:val="single" w:sz="4" w:space="0" w:color="auto"/>
              <w:bottom w:val="single" w:sz="4" w:space="0" w:color="auto"/>
              <w:right w:val="single" w:sz="4" w:space="0" w:color="auto"/>
            </w:tcBorders>
          </w:tcPr>
          <w:p w:rsidR="00D731A6" w:rsidRPr="00FC4B03" w:rsidP="00D731A6">
            <w:pPr>
              <w:rPr>
                <w:rFonts w:cstheme="majorHAnsi"/>
              </w:rPr>
            </w:pPr>
            <w:r w:rsidRPr="00FC4B03">
              <w:rPr>
                <w:rFonts w:cstheme="majorHAnsi"/>
                <w:color w:val="000000"/>
                <w:lang w:eastAsia="en-GB"/>
              </w:rPr>
              <w:t>Electrical Works</w:t>
            </w:r>
          </w:p>
        </w:tc>
        <w:tc>
          <w:tcPr>
            <w:tcW w:w="1256" w:type="dxa"/>
            <w:tcBorders>
              <w:top w:val="single" w:sz="4" w:space="0" w:color="auto"/>
              <w:left w:val="single" w:sz="4" w:space="0" w:color="auto"/>
              <w:bottom w:val="single" w:sz="4" w:space="0" w:color="auto"/>
              <w:right w:val="single" w:sz="12" w:space="0" w:color="auto"/>
            </w:tcBorders>
          </w:tcPr>
          <w:p w:rsidR="00D731A6" w:rsidRPr="00FC4B03" w:rsidP="00D731A6">
            <w:pPr>
              <w:jc w:val="right"/>
              <w:rPr>
                <w:rFonts w:cstheme="majorHAnsi"/>
              </w:rPr>
            </w:pPr>
            <w:r w:rsidRPr="00FC4B03">
              <w:rPr>
                <w:rFonts w:cstheme="majorHAnsi"/>
                <w:color w:val="000000"/>
                <w:lang w:eastAsia="en-GB"/>
              </w:rPr>
              <w:t>51,100</w:t>
            </w:r>
          </w:p>
        </w:tc>
      </w:tr>
      <w:tr w:rsidTr="00F25AB2">
        <w:tblPrEx>
          <w:tblW w:w="8617" w:type="dxa"/>
          <w:tblInd w:w="704" w:type="dxa"/>
          <w:tblLook w:val="04A0"/>
        </w:tblPrEx>
        <w:tc>
          <w:tcPr>
            <w:tcW w:w="684" w:type="dxa"/>
            <w:tcBorders>
              <w:top w:val="single" w:sz="4" w:space="0" w:color="auto"/>
              <w:bottom w:val="single" w:sz="4" w:space="0" w:color="auto"/>
            </w:tcBorders>
          </w:tcPr>
          <w:p w:rsidR="00D731A6" w:rsidRPr="00FC4B03" w:rsidP="00D731A6">
            <w:pPr>
              <w:pStyle w:val="ListParagraph"/>
              <w:numPr>
                <w:ilvl w:val="0"/>
                <w:numId w:val="13"/>
              </w:numPr>
              <w:jc w:val="center"/>
              <w:rPr>
                <w:rFonts w:cstheme="majorHAnsi"/>
              </w:rPr>
            </w:pPr>
          </w:p>
        </w:tc>
        <w:tc>
          <w:tcPr>
            <w:tcW w:w="6677" w:type="dxa"/>
            <w:tcBorders>
              <w:top w:val="single" w:sz="4" w:space="0" w:color="auto"/>
              <w:left w:val="single" w:sz="4" w:space="0" w:color="auto"/>
              <w:bottom w:val="single" w:sz="4" w:space="0" w:color="auto"/>
              <w:right w:val="single" w:sz="4" w:space="0" w:color="auto"/>
            </w:tcBorders>
          </w:tcPr>
          <w:p w:rsidR="00D731A6" w:rsidRPr="00FC4B03" w:rsidP="00D731A6">
            <w:pPr>
              <w:rPr>
                <w:rFonts w:cstheme="majorHAnsi"/>
              </w:rPr>
            </w:pPr>
            <w:r w:rsidRPr="00FC4B03">
              <w:rPr>
                <w:rFonts w:cstheme="majorHAnsi"/>
                <w:color w:val="000000"/>
                <w:lang w:eastAsia="en-GB"/>
              </w:rPr>
              <w:t>CCTV</w:t>
            </w:r>
          </w:p>
        </w:tc>
        <w:tc>
          <w:tcPr>
            <w:tcW w:w="1256" w:type="dxa"/>
            <w:tcBorders>
              <w:top w:val="single" w:sz="4" w:space="0" w:color="auto"/>
              <w:left w:val="single" w:sz="4" w:space="0" w:color="auto"/>
              <w:bottom w:val="single" w:sz="4" w:space="0" w:color="auto"/>
              <w:right w:val="single" w:sz="12" w:space="0" w:color="auto"/>
            </w:tcBorders>
          </w:tcPr>
          <w:p w:rsidR="00D731A6" w:rsidRPr="00FC4B03" w:rsidP="00D731A6">
            <w:pPr>
              <w:jc w:val="right"/>
              <w:rPr>
                <w:rFonts w:cstheme="majorHAnsi"/>
              </w:rPr>
            </w:pPr>
            <w:r w:rsidRPr="00FC4B03">
              <w:rPr>
                <w:rFonts w:cstheme="majorHAnsi"/>
                <w:color w:val="000000"/>
                <w:lang w:eastAsia="en-GB"/>
              </w:rPr>
              <w:t>5,000</w:t>
            </w:r>
          </w:p>
        </w:tc>
      </w:tr>
      <w:tr w:rsidTr="00F25AB2">
        <w:tblPrEx>
          <w:tblW w:w="8617" w:type="dxa"/>
          <w:tblInd w:w="704" w:type="dxa"/>
          <w:tblLook w:val="04A0"/>
        </w:tblPrEx>
        <w:tc>
          <w:tcPr>
            <w:tcW w:w="684" w:type="dxa"/>
            <w:tcBorders>
              <w:top w:val="single" w:sz="4" w:space="0" w:color="auto"/>
              <w:bottom w:val="single" w:sz="4" w:space="0" w:color="auto"/>
            </w:tcBorders>
          </w:tcPr>
          <w:p w:rsidR="00D731A6" w:rsidRPr="00FC4B03" w:rsidP="00D731A6">
            <w:pPr>
              <w:pStyle w:val="ListParagraph"/>
              <w:numPr>
                <w:ilvl w:val="0"/>
                <w:numId w:val="13"/>
              </w:numPr>
              <w:jc w:val="center"/>
              <w:rPr>
                <w:rFonts w:cstheme="majorHAnsi"/>
              </w:rPr>
            </w:pPr>
          </w:p>
        </w:tc>
        <w:tc>
          <w:tcPr>
            <w:tcW w:w="6677" w:type="dxa"/>
            <w:tcBorders>
              <w:top w:val="single" w:sz="4" w:space="0" w:color="auto"/>
              <w:left w:val="single" w:sz="4" w:space="0" w:color="auto"/>
              <w:bottom w:val="single" w:sz="4" w:space="0" w:color="auto"/>
              <w:right w:val="single" w:sz="4" w:space="0" w:color="auto"/>
            </w:tcBorders>
          </w:tcPr>
          <w:p w:rsidR="00D731A6" w:rsidRPr="00FC4B03" w:rsidP="00D731A6">
            <w:pPr>
              <w:rPr>
                <w:rFonts w:cstheme="majorHAnsi"/>
              </w:rPr>
            </w:pPr>
            <w:r w:rsidRPr="00FC4B03">
              <w:rPr>
                <w:rFonts w:cstheme="majorHAnsi"/>
                <w:color w:val="000000"/>
                <w:lang w:eastAsia="en-GB"/>
              </w:rPr>
              <w:t>Service Trenching</w:t>
            </w:r>
          </w:p>
        </w:tc>
        <w:tc>
          <w:tcPr>
            <w:tcW w:w="1256" w:type="dxa"/>
            <w:tcBorders>
              <w:top w:val="single" w:sz="4" w:space="0" w:color="auto"/>
              <w:left w:val="single" w:sz="4" w:space="0" w:color="auto"/>
              <w:bottom w:val="single" w:sz="4" w:space="0" w:color="auto"/>
              <w:right w:val="single" w:sz="12" w:space="0" w:color="auto"/>
            </w:tcBorders>
          </w:tcPr>
          <w:p w:rsidR="00D731A6" w:rsidRPr="00FC4B03" w:rsidP="00D731A6">
            <w:pPr>
              <w:jc w:val="right"/>
              <w:rPr>
                <w:rFonts w:cstheme="majorHAnsi"/>
              </w:rPr>
            </w:pPr>
            <w:r w:rsidRPr="00FC4B03">
              <w:rPr>
                <w:rFonts w:cstheme="majorHAnsi"/>
                <w:color w:val="000000"/>
                <w:lang w:eastAsia="en-GB"/>
              </w:rPr>
              <w:t>9,800</w:t>
            </w:r>
          </w:p>
        </w:tc>
      </w:tr>
      <w:tr w:rsidTr="00F25AB2">
        <w:tblPrEx>
          <w:tblW w:w="8617" w:type="dxa"/>
          <w:tblInd w:w="704" w:type="dxa"/>
          <w:tblLook w:val="04A0"/>
        </w:tblPrEx>
        <w:tc>
          <w:tcPr>
            <w:tcW w:w="684" w:type="dxa"/>
            <w:tcBorders>
              <w:top w:val="single" w:sz="4" w:space="0" w:color="auto"/>
              <w:bottom w:val="single" w:sz="4" w:space="0" w:color="auto"/>
            </w:tcBorders>
          </w:tcPr>
          <w:p w:rsidR="00D731A6" w:rsidRPr="00FC4B03" w:rsidP="00D731A6">
            <w:pPr>
              <w:pStyle w:val="ListParagraph"/>
              <w:numPr>
                <w:ilvl w:val="0"/>
                <w:numId w:val="13"/>
              </w:numPr>
              <w:jc w:val="center"/>
              <w:rPr>
                <w:rFonts w:cstheme="majorHAnsi"/>
              </w:rPr>
            </w:pPr>
          </w:p>
        </w:tc>
        <w:tc>
          <w:tcPr>
            <w:tcW w:w="6677" w:type="dxa"/>
            <w:tcBorders>
              <w:top w:val="single" w:sz="4" w:space="0" w:color="auto"/>
              <w:left w:val="single" w:sz="4" w:space="0" w:color="auto"/>
              <w:bottom w:val="single" w:sz="4" w:space="0" w:color="auto"/>
              <w:right w:val="single" w:sz="4" w:space="0" w:color="auto"/>
            </w:tcBorders>
          </w:tcPr>
          <w:p w:rsidR="00D731A6" w:rsidRPr="00FC4B03" w:rsidP="00D731A6">
            <w:pPr>
              <w:rPr>
                <w:rFonts w:cstheme="majorHAnsi"/>
              </w:rPr>
            </w:pPr>
            <w:r w:rsidRPr="00FC4B03">
              <w:rPr>
                <w:rFonts w:cstheme="majorHAnsi"/>
                <w:color w:val="000000"/>
                <w:lang w:eastAsia="en-GB"/>
              </w:rPr>
              <w:t>Building Works in connection with Services</w:t>
            </w:r>
          </w:p>
        </w:tc>
        <w:tc>
          <w:tcPr>
            <w:tcW w:w="1256" w:type="dxa"/>
            <w:tcBorders>
              <w:top w:val="single" w:sz="4" w:space="0" w:color="auto"/>
              <w:left w:val="single" w:sz="4" w:space="0" w:color="auto"/>
              <w:bottom w:val="single" w:sz="4" w:space="0" w:color="auto"/>
              <w:right w:val="single" w:sz="12" w:space="0" w:color="auto"/>
            </w:tcBorders>
          </w:tcPr>
          <w:p w:rsidR="00D731A6" w:rsidRPr="00FC4B03" w:rsidP="00D731A6">
            <w:pPr>
              <w:jc w:val="right"/>
              <w:rPr>
                <w:rFonts w:cstheme="majorHAnsi"/>
              </w:rPr>
            </w:pPr>
            <w:r w:rsidRPr="00FC4B03">
              <w:rPr>
                <w:rFonts w:cstheme="majorHAnsi"/>
                <w:color w:val="000000"/>
                <w:lang w:eastAsia="en-GB"/>
              </w:rPr>
              <w:t>2,400</w:t>
            </w:r>
          </w:p>
        </w:tc>
      </w:tr>
      <w:tr w:rsidTr="00F25AB2">
        <w:tblPrEx>
          <w:tblW w:w="8617" w:type="dxa"/>
          <w:tblInd w:w="704" w:type="dxa"/>
          <w:tblLook w:val="04A0"/>
        </w:tblPrEx>
        <w:tc>
          <w:tcPr>
            <w:tcW w:w="684" w:type="dxa"/>
            <w:tcBorders>
              <w:top w:val="single" w:sz="4" w:space="0" w:color="auto"/>
              <w:bottom w:val="single" w:sz="4" w:space="0" w:color="auto"/>
            </w:tcBorders>
          </w:tcPr>
          <w:p w:rsidR="00D731A6" w:rsidRPr="00FC4B03" w:rsidP="00D731A6">
            <w:pPr>
              <w:pStyle w:val="ListParagraph"/>
              <w:numPr>
                <w:ilvl w:val="0"/>
                <w:numId w:val="13"/>
              </w:numPr>
              <w:jc w:val="center"/>
              <w:rPr>
                <w:rFonts w:cstheme="majorHAnsi"/>
              </w:rPr>
            </w:pPr>
          </w:p>
        </w:tc>
        <w:tc>
          <w:tcPr>
            <w:tcW w:w="6677" w:type="dxa"/>
            <w:tcBorders>
              <w:top w:val="single" w:sz="4" w:space="0" w:color="auto"/>
              <w:left w:val="single" w:sz="4" w:space="0" w:color="auto"/>
              <w:bottom w:val="single" w:sz="4" w:space="0" w:color="auto"/>
              <w:right w:val="single" w:sz="4" w:space="0" w:color="auto"/>
            </w:tcBorders>
          </w:tcPr>
          <w:p w:rsidR="00D731A6" w:rsidRPr="00FC4B03" w:rsidP="00D731A6">
            <w:pPr>
              <w:rPr>
                <w:rFonts w:cstheme="majorHAnsi"/>
              </w:rPr>
            </w:pPr>
            <w:r w:rsidRPr="00FC4B03">
              <w:rPr>
                <w:rFonts w:cstheme="majorHAnsi"/>
                <w:color w:val="000000"/>
                <w:lang w:eastAsia="en-GB"/>
              </w:rPr>
              <w:t>Drainage</w:t>
            </w:r>
          </w:p>
        </w:tc>
        <w:tc>
          <w:tcPr>
            <w:tcW w:w="1256" w:type="dxa"/>
            <w:tcBorders>
              <w:top w:val="single" w:sz="4" w:space="0" w:color="auto"/>
              <w:left w:val="single" w:sz="4" w:space="0" w:color="auto"/>
              <w:bottom w:val="single" w:sz="4" w:space="0" w:color="auto"/>
              <w:right w:val="single" w:sz="12" w:space="0" w:color="auto"/>
            </w:tcBorders>
          </w:tcPr>
          <w:p w:rsidR="00D731A6" w:rsidRPr="00FC4B03" w:rsidP="00D731A6">
            <w:pPr>
              <w:jc w:val="right"/>
              <w:rPr>
                <w:rFonts w:cstheme="majorHAnsi"/>
              </w:rPr>
            </w:pPr>
            <w:r w:rsidRPr="00FC4B03">
              <w:rPr>
                <w:rFonts w:cstheme="majorHAnsi"/>
                <w:color w:val="000000"/>
                <w:lang w:eastAsia="en-GB"/>
              </w:rPr>
              <w:t>43,500</w:t>
            </w:r>
          </w:p>
        </w:tc>
      </w:tr>
      <w:tr w:rsidTr="00F25AB2">
        <w:tblPrEx>
          <w:tblW w:w="8617" w:type="dxa"/>
          <w:tblInd w:w="704" w:type="dxa"/>
          <w:tblLook w:val="04A0"/>
        </w:tblPrEx>
        <w:tc>
          <w:tcPr>
            <w:tcW w:w="684" w:type="dxa"/>
            <w:tcBorders>
              <w:top w:val="single" w:sz="4" w:space="0" w:color="auto"/>
              <w:bottom w:val="single" w:sz="4" w:space="0" w:color="auto"/>
            </w:tcBorders>
          </w:tcPr>
          <w:p w:rsidR="00D731A6" w:rsidRPr="00FC4B03" w:rsidP="00D731A6">
            <w:pPr>
              <w:pStyle w:val="ListParagraph"/>
              <w:numPr>
                <w:ilvl w:val="0"/>
                <w:numId w:val="13"/>
              </w:numPr>
              <w:jc w:val="center"/>
              <w:rPr>
                <w:rFonts w:cstheme="majorHAnsi"/>
              </w:rPr>
            </w:pPr>
          </w:p>
        </w:tc>
        <w:tc>
          <w:tcPr>
            <w:tcW w:w="6677" w:type="dxa"/>
            <w:tcBorders>
              <w:top w:val="single" w:sz="4" w:space="0" w:color="auto"/>
              <w:left w:val="single" w:sz="4" w:space="0" w:color="auto"/>
              <w:bottom w:val="single" w:sz="4" w:space="0" w:color="auto"/>
              <w:right w:val="single" w:sz="4" w:space="0" w:color="auto"/>
            </w:tcBorders>
          </w:tcPr>
          <w:p w:rsidR="00D731A6" w:rsidRPr="00FC4B03" w:rsidP="00D731A6">
            <w:pPr>
              <w:rPr>
                <w:rFonts w:cstheme="majorHAnsi"/>
              </w:rPr>
            </w:pPr>
            <w:r w:rsidRPr="00FC4B03">
              <w:rPr>
                <w:rFonts w:cstheme="majorHAnsi"/>
                <w:color w:val="000000"/>
                <w:lang w:eastAsia="en-GB"/>
              </w:rPr>
              <w:t>External Works - paving, paths, hardstandings</w:t>
            </w:r>
          </w:p>
        </w:tc>
        <w:tc>
          <w:tcPr>
            <w:tcW w:w="1256" w:type="dxa"/>
            <w:tcBorders>
              <w:top w:val="single" w:sz="4" w:space="0" w:color="auto"/>
              <w:left w:val="single" w:sz="4" w:space="0" w:color="auto"/>
              <w:bottom w:val="single" w:sz="4" w:space="0" w:color="auto"/>
              <w:right w:val="single" w:sz="12" w:space="0" w:color="auto"/>
            </w:tcBorders>
          </w:tcPr>
          <w:p w:rsidR="00D731A6" w:rsidRPr="00FC4B03" w:rsidP="00D731A6">
            <w:pPr>
              <w:jc w:val="right"/>
              <w:rPr>
                <w:rFonts w:cstheme="majorHAnsi"/>
              </w:rPr>
            </w:pPr>
            <w:r w:rsidRPr="00FC4B03">
              <w:rPr>
                <w:rFonts w:cstheme="majorHAnsi"/>
                <w:color w:val="000000"/>
                <w:lang w:eastAsia="en-GB"/>
              </w:rPr>
              <w:t>48,100</w:t>
            </w:r>
          </w:p>
        </w:tc>
      </w:tr>
      <w:tr w:rsidTr="00F25AB2">
        <w:tblPrEx>
          <w:tblW w:w="8617" w:type="dxa"/>
          <w:tblInd w:w="704" w:type="dxa"/>
          <w:tblLook w:val="04A0"/>
        </w:tblPrEx>
        <w:tc>
          <w:tcPr>
            <w:tcW w:w="684" w:type="dxa"/>
            <w:tcBorders>
              <w:top w:val="single" w:sz="4" w:space="0" w:color="auto"/>
              <w:bottom w:val="single" w:sz="4" w:space="0" w:color="auto"/>
            </w:tcBorders>
          </w:tcPr>
          <w:p w:rsidR="00D731A6" w:rsidRPr="00FC4B03" w:rsidP="00D731A6">
            <w:pPr>
              <w:pStyle w:val="ListParagraph"/>
              <w:numPr>
                <w:ilvl w:val="0"/>
                <w:numId w:val="13"/>
              </w:numPr>
              <w:jc w:val="center"/>
              <w:rPr>
                <w:rFonts w:cstheme="majorHAnsi"/>
              </w:rPr>
            </w:pPr>
          </w:p>
        </w:tc>
        <w:tc>
          <w:tcPr>
            <w:tcW w:w="6677" w:type="dxa"/>
            <w:tcBorders>
              <w:top w:val="single" w:sz="4" w:space="0" w:color="auto"/>
              <w:left w:val="single" w:sz="4" w:space="0" w:color="auto"/>
              <w:bottom w:val="single" w:sz="4" w:space="0" w:color="auto"/>
              <w:right w:val="single" w:sz="4" w:space="0" w:color="auto"/>
            </w:tcBorders>
          </w:tcPr>
          <w:p w:rsidR="00D731A6" w:rsidRPr="00FC4B03" w:rsidP="00D731A6">
            <w:pPr>
              <w:rPr>
                <w:rFonts w:cstheme="majorHAnsi"/>
              </w:rPr>
            </w:pPr>
            <w:r w:rsidRPr="00FC4B03">
              <w:rPr>
                <w:rFonts w:cstheme="majorHAnsi"/>
                <w:color w:val="000000"/>
                <w:lang w:eastAsia="en-GB"/>
              </w:rPr>
              <w:t>New Statutory Services Supplies (provisional)</w:t>
            </w:r>
          </w:p>
        </w:tc>
        <w:tc>
          <w:tcPr>
            <w:tcW w:w="1256" w:type="dxa"/>
            <w:tcBorders>
              <w:top w:val="single" w:sz="4" w:space="0" w:color="auto"/>
              <w:left w:val="single" w:sz="4" w:space="0" w:color="auto"/>
              <w:bottom w:val="single" w:sz="4" w:space="0" w:color="auto"/>
              <w:right w:val="single" w:sz="12" w:space="0" w:color="auto"/>
            </w:tcBorders>
          </w:tcPr>
          <w:p w:rsidR="00D731A6" w:rsidRPr="00FC4B03" w:rsidP="00D731A6">
            <w:pPr>
              <w:jc w:val="right"/>
              <w:rPr>
                <w:rFonts w:cstheme="majorHAnsi"/>
              </w:rPr>
            </w:pPr>
            <w:r w:rsidRPr="00FC4B03">
              <w:rPr>
                <w:rFonts w:cstheme="majorHAnsi"/>
                <w:color w:val="000000"/>
                <w:lang w:eastAsia="en-GB"/>
              </w:rPr>
              <w:t>80,000</w:t>
            </w:r>
          </w:p>
        </w:tc>
      </w:tr>
      <w:tr w:rsidTr="00F25AB2">
        <w:tblPrEx>
          <w:tblW w:w="8617" w:type="dxa"/>
          <w:tblInd w:w="704" w:type="dxa"/>
          <w:tblLook w:val="04A0"/>
        </w:tblPrEx>
        <w:tc>
          <w:tcPr>
            <w:tcW w:w="684" w:type="dxa"/>
            <w:tcBorders>
              <w:top w:val="single" w:sz="4" w:space="0" w:color="auto"/>
              <w:bottom w:val="single" w:sz="12" w:space="0" w:color="auto"/>
            </w:tcBorders>
          </w:tcPr>
          <w:p w:rsidR="00D731A6" w:rsidRPr="00FC4B03" w:rsidP="00D731A6">
            <w:pPr>
              <w:pStyle w:val="ListParagraph"/>
              <w:numPr>
                <w:ilvl w:val="0"/>
                <w:numId w:val="13"/>
              </w:numPr>
              <w:jc w:val="center"/>
              <w:rPr>
                <w:rFonts w:cstheme="majorHAnsi"/>
              </w:rPr>
            </w:pPr>
          </w:p>
        </w:tc>
        <w:tc>
          <w:tcPr>
            <w:tcW w:w="6677" w:type="dxa"/>
            <w:tcBorders>
              <w:top w:val="single" w:sz="4" w:space="0" w:color="auto"/>
              <w:left w:val="single" w:sz="4" w:space="0" w:color="auto"/>
              <w:bottom w:val="single" w:sz="12" w:space="0" w:color="auto"/>
              <w:right w:val="single" w:sz="4" w:space="0" w:color="auto"/>
            </w:tcBorders>
          </w:tcPr>
          <w:p w:rsidR="00D731A6" w:rsidRPr="00FC4B03" w:rsidP="00D731A6">
            <w:pPr>
              <w:rPr>
                <w:rFonts w:cstheme="majorHAnsi"/>
              </w:rPr>
            </w:pPr>
            <w:r w:rsidRPr="00FC4B03">
              <w:rPr>
                <w:rFonts w:cstheme="majorHAnsi"/>
                <w:color w:val="000000"/>
                <w:lang w:eastAsia="en-GB"/>
              </w:rPr>
              <w:t>Preliminaries</w:t>
            </w:r>
          </w:p>
        </w:tc>
        <w:tc>
          <w:tcPr>
            <w:tcW w:w="1256" w:type="dxa"/>
            <w:tcBorders>
              <w:top w:val="single" w:sz="4" w:space="0" w:color="auto"/>
              <w:left w:val="single" w:sz="4" w:space="0" w:color="auto"/>
              <w:bottom w:val="single" w:sz="12" w:space="0" w:color="auto"/>
              <w:right w:val="single" w:sz="12" w:space="0" w:color="auto"/>
            </w:tcBorders>
          </w:tcPr>
          <w:p w:rsidR="00D731A6" w:rsidRPr="00FC4B03" w:rsidP="00D731A6">
            <w:pPr>
              <w:jc w:val="right"/>
              <w:rPr>
                <w:rFonts w:cstheme="majorHAnsi"/>
              </w:rPr>
            </w:pPr>
            <w:r w:rsidRPr="00FC4B03">
              <w:rPr>
                <w:rFonts w:cstheme="majorHAnsi"/>
                <w:color w:val="000000"/>
                <w:lang w:eastAsia="en-GB"/>
              </w:rPr>
              <w:t>104,000</w:t>
            </w:r>
          </w:p>
        </w:tc>
      </w:tr>
      <w:tr w:rsidTr="00D731A6">
        <w:tblPrEx>
          <w:tblW w:w="8617" w:type="dxa"/>
          <w:tblInd w:w="704" w:type="dxa"/>
          <w:tblLook w:val="04A0"/>
        </w:tblPrEx>
        <w:tc>
          <w:tcPr>
            <w:tcW w:w="684" w:type="dxa"/>
            <w:tcBorders>
              <w:top w:val="single" w:sz="12" w:space="0" w:color="auto"/>
              <w:bottom w:val="single" w:sz="12" w:space="0" w:color="auto"/>
            </w:tcBorders>
            <w:shd w:val="clear" w:color="auto" w:fill="D9D9D9" w:themeFill="background1" w:themeFillShade="D9"/>
          </w:tcPr>
          <w:p w:rsidR="00D731A6" w:rsidRPr="00FC4B03" w:rsidP="00D731A6">
            <w:pPr>
              <w:pStyle w:val="ListParagraph"/>
              <w:ind w:left="360"/>
              <w:rPr>
                <w:rFonts w:cstheme="majorHAnsi"/>
              </w:rPr>
            </w:pPr>
          </w:p>
        </w:tc>
        <w:tc>
          <w:tcPr>
            <w:tcW w:w="6677" w:type="dxa"/>
            <w:tcBorders>
              <w:top w:val="single" w:sz="12" w:space="0" w:color="auto"/>
              <w:bottom w:val="single" w:sz="12" w:space="0" w:color="auto"/>
            </w:tcBorders>
            <w:shd w:val="clear" w:color="auto" w:fill="D9D9D9" w:themeFill="background1" w:themeFillShade="D9"/>
          </w:tcPr>
          <w:p w:rsidR="00D731A6" w:rsidRPr="00FC4B03" w:rsidP="00D731A6">
            <w:pPr>
              <w:jc w:val="right"/>
              <w:rPr>
                <w:rFonts w:cstheme="majorHAnsi"/>
                <w:b/>
                <w:bCs/>
              </w:rPr>
            </w:pPr>
            <w:r w:rsidRPr="00FC4B03">
              <w:rPr>
                <w:rFonts w:cstheme="majorHAnsi"/>
                <w:b/>
                <w:bCs/>
              </w:rPr>
              <w:t>Sub Total</w:t>
            </w:r>
            <w:r w:rsidRPr="00FC4B03">
              <w:rPr>
                <w:rFonts w:cstheme="majorHAnsi"/>
              </w:rPr>
              <w:t xml:space="preserve"> (ex VAT)</w:t>
            </w:r>
          </w:p>
        </w:tc>
        <w:tc>
          <w:tcPr>
            <w:tcW w:w="1256"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D731A6" w:rsidRPr="00FC4B03" w:rsidP="00D731A6">
            <w:pPr>
              <w:jc w:val="right"/>
              <w:rPr>
                <w:rFonts w:cstheme="majorHAnsi"/>
              </w:rPr>
            </w:pPr>
            <w:r w:rsidRPr="00FC4B03">
              <w:rPr>
                <w:rFonts w:cstheme="majorHAnsi"/>
                <w:b/>
                <w:color w:val="000000"/>
                <w:lang w:eastAsia="en-GB"/>
              </w:rPr>
              <w:t>821,900</w:t>
            </w:r>
          </w:p>
        </w:tc>
      </w:tr>
      <w:tr w:rsidTr="00F9759A">
        <w:tblPrEx>
          <w:tblW w:w="8617" w:type="dxa"/>
          <w:tblInd w:w="704" w:type="dxa"/>
          <w:tblLook w:val="04A0"/>
        </w:tblPrEx>
        <w:tc>
          <w:tcPr>
            <w:tcW w:w="684" w:type="dxa"/>
            <w:tcBorders>
              <w:top w:val="single" w:sz="12" w:space="0" w:color="auto"/>
              <w:bottom w:val="single" w:sz="4" w:space="0" w:color="auto"/>
            </w:tcBorders>
          </w:tcPr>
          <w:p w:rsidR="00D731A6" w:rsidRPr="00FC4B03" w:rsidP="00D731A6">
            <w:pPr>
              <w:pStyle w:val="ListParagraph"/>
              <w:numPr>
                <w:ilvl w:val="0"/>
                <w:numId w:val="13"/>
              </w:numPr>
              <w:jc w:val="center"/>
              <w:rPr>
                <w:rFonts w:cstheme="majorHAnsi"/>
              </w:rPr>
            </w:pPr>
          </w:p>
        </w:tc>
        <w:tc>
          <w:tcPr>
            <w:tcW w:w="6677" w:type="dxa"/>
            <w:tcBorders>
              <w:top w:val="single" w:sz="12" w:space="0" w:color="auto"/>
              <w:left w:val="single" w:sz="4" w:space="0" w:color="auto"/>
              <w:bottom w:val="single" w:sz="4" w:space="0" w:color="auto"/>
              <w:right w:val="single" w:sz="4" w:space="0" w:color="auto"/>
            </w:tcBorders>
          </w:tcPr>
          <w:p w:rsidR="00D731A6" w:rsidRPr="00FC4B03" w:rsidP="00D731A6">
            <w:pPr>
              <w:rPr>
                <w:rFonts w:cstheme="majorHAnsi"/>
              </w:rPr>
            </w:pPr>
            <w:r w:rsidRPr="00FC4B03">
              <w:rPr>
                <w:rFonts w:cstheme="majorHAnsi"/>
                <w:color w:val="000000"/>
                <w:lang w:eastAsia="en-GB"/>
              </w:rPr>
              <w:t xml:space="preserve">Works </w:t>
            </w:r>
            <w:r w:rsidRPr="00FC4B03" w:rsidR="00FC4B03">
              <w:rPr>
                <w:rFonts w:cstheme="majorHAnsi"/>
                <w:color w:val="000000"/>
                <w:lang w:eastAsia="en-GB"/>
              </w:rPr>
              <w:t>t</w:t>
            </w:r>
            <w:r w:rsidRPr="00FC4B03">
              <w:rPr>
                <w:rFonts w:cstheme="majorHAnsi"/>
                <w:color w:val="000000"/>
                <w:lang w:eastAsia="en-GB"/>
              </w:rPr>
              <w:t>o Play Area Fence and Skate Park</w:t>
            </w:r>
          </w:p>
        </w:tc>
        <w:tc>
          <w:tcPr>
            <w:tcW w:w="1256" w:type="dxa"/>
            <w:tcBorders>
              <w:top w:val="single" w:sz="12" w:space="0" w:color="auto"/>
              <w:left w:val="single" w:sz="4" w:space="0" w:color="auto"/>
              <w:bottom w:val="single" w:sz="4" w:space="0" w:color="auto"/>
              <w:right w:val="single" w:sz="12" w:space="0" w:color="auto"/>
            </w:tcBorders>
          </w:tcPr>
          <w:p w:rsidR="00D731A6" w:rsidRPr="00FC4B03" w:rsidP="00D731A6">
            <w:pPr>
              <w:jc w:val="right"/>
              <w:rPr>
                <w:rFonts w:cstheme="majorHAnsi"/>
              </w:rPr>
            </w:pPr>
            <w:r w:rsidRPr="00FC4B03">
              <w:rPr>
                <w:rFonts w:cstheme="majorHAnsi"/>
                <w:color w:val="000000"/>
                <w:lang w:eastAsia="en-GB"/>
              </w:rPr>
              <w:t>28,100</w:t>
            </w:r>
          </w:p>
        </w:tc>
      </w:tr>
      <w:tr w:rsidTr="00F9759A">
        <w:tblPrEx>
          <w:tblW w:w="8617" w:type="dxa"/>
          <w:tblInd w:w="704" w:type="dxa"/>
          <w:tblLook w:val="04A0"/>
        </w:tblPrEx>
        <w:tc>
          <w:tcPr>
            <w:tcW w:w="684" w:type="dxa"/>
            <w:tcBorders>
              <w:top w:val="single" w:sz="4" w:space="0" w:color="auto"/>
              <w:bottom w:val="single" w:sz="12" w:space="0" w:color="auto"/>
            </w:tcBorders>
          </w:tcPr>
          <w:p w:rsidR="00D731A6" w:rsidRPr="00FC4B03" w:rsidP="00D731A6">
            <w:pPr>
              <w:pStyle w:val="ListParagraph"/>
              <w:numPr>
                <w:ilvl w:val="0"/>
                <w:numId w:val="13"/>
              </w:numPr>
              <w:jc w:val="center"/>
              <w:rPr>
                <w:rFonts w:cstheme="majorHAnsi"/>
              </w:rPr>
            </w:pPr>
          </w:p>
        </w:tc>
        <w:tc>
          <w:tcPr>
            <w:tcW w:w="6677" w:type="dxa"/>
            <w:tcBorders>
              <w:top w:val="single" w:sz="4" w:space="0" w:color="auto"/>
              <w:left w:val="single" w:sz="4" w:space="0" w:color="auto"/>
              <w:bottom w:val="single" w:sz="12" w:space="0" w:color="auto"/>
              <w:right w:val="single" w:sz="4" w:space="0" w:color="auto"/>
            </w:tcBorders>
          </w:tcPr>
          <w:p w:rsidR="00D731A6" w:rsidRPr="00FC4B03" w:rsidP="00D731A6">
            <w:pPr>
              <w:rPr>
                <w:rFonts w:cstheme="majorHAnsi"/>
              </w:rPr>
            </w:pPr>
            <w:r w:rsidRPr="00FC4B03">
              <w:rPr>
                <w:rFonts w:cstheme="majorHAnsi"/>
                <w:color w:val="000000"/>
                <w:lang w:eastAsia="en-GB"/>
              </w:rPr>
              <w:t>Contingencies and Risk Allowance</w:t>
            </w:r>
          </w:p>
        </w:tc>
        <w:tc>
          <w:tcPr>
            <w:tcW w:w="1256" w:type="dxa"/>
            <w:tcBorders>
              <w:top w:val="single" w:sz="4" w:space="0" w:color="auto"/>
              <w:left w:val="single" w:sz="4" w:space="0" w:color="auto"/>
              <w:bottom w:val="single" w:sz="12" w:space="0" w:color="auto"/>
              <w:right w:val="single" w:sz="12" w:space="0" w:color="auto"/>
            </w:tcBorders>
          </w:tcPr>
          <w:p w:rsidR="00D731A6" w:rsidRPr="00FC4B03" w:rsidP="00D731A6">
            <w:pPr>
              <w:jc w:val="right"/>
              <w:rPr>
                <w:rFonts w:cstheme="majorHAnsi"/>
              </w:rPr>
            </w:pPr>
            <w:r w:rsidRPr="00FC4B03">
              <w:rPr>
                <w:rFonts w:cstheme="majorHAnsi"/>
                <w:color w:val="000000"/>
                <w:lang w:eastAsia="en-GB"/>
              </w:rPr>
              <w:t>30,000</w:t>
            </w:r>
          </w:p>
        </w:tc>
      </w:tr>
      <w:tr w:rsidTr="00D731A6">
        <w:tblPrEx>
          <w:tblW w:w="8617" w:type="dxa"/>
          <w:tblInd w:w="704" w:type="dxa"/>
          <w:tblLook w:val="04A0"/>
        </w:tblPrEx>
        <w:tc>
          <w:tcPr>
            <w:tcW w:w="684" w:type="dxa"/>
            <w:tcBorders>
              <w:top w:val="single" w:sz="12" w:space="0" w:color="auto"/>
              <w:bottom w:val="single" w:sz="12" w:space="0" w:color="auto"/>
            </w:tcBorders>
            <w:shd w:val="clear" w:color="auto" w:fill="D9D9D9" w:themeFill="background1" w:themeFillShade="D9"/>
          </w:tcPr>
          <w:p w:rsidR="00D731A6" w:rsidRPr="00FC4B03" w:rsidP="00D731A6">
            <w:pPr>
              <w:pStyle w:val="ListParagraph"/>
              <w:ind w:left="360"/>
              <w:rPr>
                <w:rFonts w:cstheme="majorHAnsi"/>
                <w:b/>
                <w:bCs/>
              </w:rPr>
            </w:pPr>
          </w:p>
        </w:tc>
        <w:tc>
          <w:tcPr>
            <w:tcW w:w="6677" w:type="dxa"/>
            <w:tcBorders>
              <w:top w:val="single" w:sz="12" w:space="0" w:color="auto"/>
              <w:bottom w:val="single" w:sz="12" w:space="0" w:color="auto"/>
            </w:tcBorders>
            <w:shd w:val="clear" w:color="auto" w:fill="D9D9D9" w:themeFill="background1" w:themeFillShade="D9"/>
          </w:tcPr>
          <w:p w:rsidR="00D731A6" w:rsidRPr="00FC4B03" w:rsidP="00D731A6">
            <w:pPr>
              <w:jc w:val="right"/>
              <w:rPr>
                <w:rFonts w:cstheme="majorHAnsi"/>
                <w:b/>
                <w:bCs/>
              </w:rPr>
            </w:pPr>
            <w:r w:rsidRPr="00FC4B03">
              <w:rPr>
                <w:rFonts w:cstheme="majorHAnsi"/>
                <w:b/>
                <w:bCs/>
              </w:rPr>
              <w:t>Total</w:t>
            </w:r>
            <w:r w:rsidRPr="00FC4B03">
              <w:rPr>
                <w:rFonts w:cstheme="majorHAnsi"/>
              </w:rPr>
              <w:t xml:space="preserve"> (ex VAT)</w:t>
            </w:r>
          </w:p>
        </w:tc>
        <w:tc>
          <w:tcPr>
            <w:tcW w:w="1256" w:type="dxa"/>
            <w:tcBorders>
              <w:top w:val="single" w:sz="12" w:space="0" w:color="auto"/>
              <w:bottom w:val="single" w:sz="12" w:space="0" w:color="auto"/>
            </w:tcBorders>
            <w:shd w:val="clear" w:color="auto" w:fill="D9D9D9" w:themeFill="background1" w:themeFillShade="D9"/>
          </w:tcPr>
          <w:p w:rsidR="00D731A6" w:rsidRPr="00FC4B03" w:rsidP="00E35FF8">
            <w:pPr>
              <w:jc w:val="right"/>
              <w:rPr>
                <w:rFonts w:cstheme="majorHAnsi"/>
                <w:b/>
                <w:bCs/>
              </w:rPr>
            </w:pPr>
            <w:r w:rsidRPr="00FC4B03">
              <w:rPr>
                <w:rFonts w:cstheme="majorHAnsi"/>
                <w:b/>
                <w:bCs/>
              </w:rPr>
              <w:t>880,000</w:t>
            </w:r>
          </w:p>
        </w:tc>
      </w:tr>
    </w:tbl>
    <w:p w:rsidR="0070668A" w:rsidP="0070668A"/>
    <w:sectPr w:rsidSect="00FC4B03">
      <w:pgSz w:w="11906" w:h="16838"/>
      <w:pgMar w:top="1418" w:right="1134"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E45277"/>
    <w:multiLevelType w:val="hybridMultilevel"/>
    <w:tmpl w:val="AF3AC94A"/>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F975682"/>
    <w:multiLevelType w:val="hybridMultilevel"/>
    <w:tmpl w:val="F378DB6E"/>
    <w:lvl w:ilvl="0">
      <w:start w:val="1"/>
      <w:numFmt w:val="lowerLetter"/>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9E46D0A"/>
    <w:multiLevelType w:val="hybridMultilevel"/>
    <w:tmpl w:val="F7F4D218"/>
    <w:lvl w:ilvl="0">
      <w:start w:val="1"/>
      <w:numFmt w:val="bullet"/>
      <w:lvlText w:val=""/>
      <w:lvlJc w:val="left"/>
      <w:pPr>
        <w:ind w:left="-297" w:hanging="360"/>
      </w:pPr>
      <w:rPr>
        <w:rFonts w:ascii="Wingdings" w:hAnsi="Wingdings" w:hint="default"/>
        <w:color w:val="auto"/>
      </w:rPr>
    </w:lvl>
    <w:lvl w:ilvl="1">
      <w:start w:val="1"/>
      <w:numFmt w:val="bullet"/>
      <w:lvlText w:val=""/>
      <w:lvlJc w:val="left"/>
      <w:pPr>
        <w:ind w:left="423" w:hanging="360"/>
      </w:pPr>
      <w:rPr>
        <w:rFonts w:ascii="Wingdings" w:hAnsi="Wingdings" w:hint="default"/>
      </w:rPr>
    </w:lvl>
    <w:lvl w:ilvl="2" w:tentative="1">
      <w:start w:val="1"/>
      <w:numFmt w:val="bullet"/>
      <w:lvlText w:val=""/>
      <w:lvlJc w:val="left"/>
      <w:pPr>
        <w:ind w:left="1143" w:hanging="360"/>
      </w:pPr>
      <w:rPr>
        <w:rFonts w:ascii="Wingdings" w:hAnsi="Wingdings" w:hint="default"/>
      </w:rPr>
    </w:lvl>
    <w:lvl w:ilvl="3" w:tentative="1">
      <w:start w:val="1"/>
      <w:numFmt w:val="bullet"/>
      <w:lvlText w:val=""/>
      <w:lvlJc w:val="left"/>
      <w:pPr>
        <w:ind w:left="1863" w:hanging="360"/>
      </w:pPr>
      <w:rPr>
        <w:rFonts w:ascii="Symbol" w:hAnsi="Symbol" w:hint="default"/>
      </w:rPr>
    </w:lvl>
    <w:lvl w:ilvl="4" w:tentative="1">
      <w:start w:val="1"/>
      <w:numFmt w:val="bullet"/>
      <w:lvlText w:val="o"/>
      <w:lvlJc w:val="left"/>
      <w:pPr>
        <w:ind w:left="2583" w:hanging="360"/>
      </w:pPr>
      <w:rPr>
        <w:rFonts w:ascii="Courier New" w:hAnsi="Courier New" w:cs="Courier New" w:hint="default"/>
      </w:rPr>
    </w:lvl>
    <w:lvl w:ilvl="5" w:tentative="1">
      <w:start w:val="1"/>
      <w:numFmt w:val="bullet"/>
      <w:lvlText w:val=""/>
      <w:lvlJc w:val="left"/>
      <w:pPr>
        <w:ind w:left="3303" w:hanging="360"/>
      </w:pPr>
      <w:rPr>
        <w:rFonts w:ascii="Wingdings" w:hAnsi="Wingdings" w:hint="default"/>
      </w:rPr>
    </w:lvl>
    <w:lvl w:ilvl="6" w:tentative="1">
      <w:start w:val="1"/>
      <w:numFmt w:val="bullet"/>
      <w:lvlText w:val=""/>
      <w:lvlJc w:val="left"/>
      <w:pPr>
        <w:ind w:left="4023" w:hanging="360"/>
      </w:pPr>
      <w:rPr>
        <w:rFonts w:ascii="Symbol" w:hAnsi="Symbol" w:hint="default"/>
      </w:rPr>
    </w:lvl>
    <w:lvl w:ilvl="7" w:tentative="1">
      <w:start w:val="1"/>
      <w:numFmt w:val="bullet"/>
      <w:lvlText w:val="o"/>
      <w:lvlJc w:val="left"/>
      <w:pPr>
        <w:ind w:left="4743" w:hanging="360"/>
      </w:pPr>
      <w:rPr>
        <w:rFonts w:ascii="Courier New" w:hAnsi="Courier New" w:cs="Courier New" w:hint="default"/>
      </w:rPr>
    </w:lvl>
    <w:lvl w:ilvl="8" w:tentative="1">
      <w:start w:val="1"/>
      <w:numFmt w:val="bullet"/>
      <w:lvlText w:val=""/>
      <w:lvlJc w:val="left"/>
      <w:pPr>
        <w:ind w:left="5463" w:hanging="360"/>
      </w:pPr>
      <w:rPr>
        <w:rFonts w:ascii="Wingdings" w:hAnsi="Wingdings" w:hint="default"/>
      </w:rPr>
    </w:lvl>
  </w:abstractNum>
  <w:abstractNum w:abstractNumId="3">
    <w:nsid w:val="215E4D37"/>
    <w:multiLevelType w:val="hybridMultilevel"/>
    <w:tmpl w:val="F3EE8A64"/>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AC3E72"/>
    <w:multiLevelType w:val="hybridMultilevel"/>
    <w:tmpl w:val="BEF0A516"/>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E314A01"/>
    <w:multiLevelType w:val="hybridMultilevel"/>
    <w:tmpl w:val="7A6AC5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024A3F"/>
    <w:multiLevelType w:val="hybridMultilevel"/>
    <w:tmpl w:val="1D34A9A8"/>
    <w:lvl w:ilvl="0">
      <w:start w:val="1"/>
      <w:numFmt w:val="low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D342F69"/>
    <w:multiLevelType w:val="hybridMultilevel"/>
    <w:tmpl w:val="215648E2"/>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C1444E7"/>
    <w:multiLevelType w:val="hybridMultilevel"/>
    <w:tmpl w:val="12F25536"/>
    <w:lvl w:ilvl="0">
      <w:start w:val="1"/>
      <w:numFmt w:val="low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25E0439"/>
    <w:multiLevelType w:val="hybridMultilevel"/>
    <w:tmpl w:val="5428FF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C63705E"/>
    <w:multiLevelType w:val="hybridMultilevel"/>
    <w:tmpl w:val="0F9C4E12"/>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72654DF6"/>
    <w:multiLevelType w:val="hybridMultilevel"/>
    <w:tmpl w:val="379A668E"/>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B287FEB"/>
    <w:multiLevelType w:val="hybridMultilevel"/>
    <w:tmpl w:val="379A668E"/>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5"/>
  </w:num>
  <w:num w:numId="5">
    <w:abstractNumId w:val="0"/>
  </w:num>
  <w:num w:numId="6">
    <w:abstractNumId w:val="3"/>
  </w:num>
  <w:num w:numId="7">
    <w:abstractNumId w:val="12"/>
  </w:num>
  <w:num w:numId="8">
    <w:abstractNumId w:val="11"/>
  </w:num>
  <w:num w:numId="9">
    <w:abstractNumId w:val="6"/>
  </w:num>
  <w:num w:numId="10">
    <w:abstractNumId w:val="8"/>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hAnsi="Century Gothic" w:eastAsiaTheme="minorHAnsi" w:cs="Calibr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Wells</dc:creator>
  <cp:lastModifiedBy>Steve Wells</cp:lastModifiedBy>
  <cp:revision>7</cp:revision>
  <dcterms:created xsi:type="dcterms:W3CDTF">2020-09-25T07:45:00Z</dcterms:created>
  <dcterms:modified xsi:type="dcterms:W3CDTF">2020-09-25T10:42:00Z</dcterms:modified>
</cp:coreProperties>
</file>